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方正小标宋简体" w:hAnsi="方正小标宋简体" w:eastAsia="方正小标宋简体"/>
          <w:sz w:val="36"/>
          <w:szCs w:val="36"/>
        </w:rPr>
      </w:pPr>
      <w:bookmarkStart w:id="0" w:name="_GoBack"/>
      <w:bookmarkEnd w:id="0"/>
      <w:r>
        <w:rPr>
          <w:rFonts w:hint="eastAsia" w:ascii="方正小标宋简体" w:hAnsi="方正小标宋简体" w:eastAsia="方正小标宋简体"/>
          <w:sz w:val="36"/>
          <w:szCs w:val="36"/>
        </w:rPr>
        <w:t>光盘行动专项基金项目</w:t>
      </w:r>
    </w:p>
    <w:p>
      <w:pPr>
        <w:snapToGrid w:val="0"/>
        <w:spacing w:after="95" w:afterLines="25" w:line="360" w:lineRule="auto"/>
        <w:jc w:val="center"/>
        <w:rPr>
          <w:rFonts w:ascii="方正小标宋简体" w:hAnsi="方正小标宋简体" w:eastAsia="方正小标宋简体"/>
          <w:sz w:val="36"/>
          <w:szCs w:val="36"/>
        </w:rPr>
      </w:pPr>
      <w:r>
        <w:rPr>
          <w:rFonts w:hint="eastAsia" w:ascii="方正小标宋简体" w:hAnsi="方正小标宋简体" w:eastAsia="方正小标宋简体"/>
          <w:sz w:val="36"/>
          <w:szCs w:val="36"/>
        </w:rPr>
        <w:t>2021年总结报告</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6"/>
        <w:gridCol w:w="2888"/>
        <w:gridCol w:w="1223"/>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shd w:val="clear" w:color="auto" w:fill="D8D8D8" w:themeFill="background1" w:themeFillShade="D9"/>
            <w:vAlign w:val="center"/>
          </w:tcPr>
          <w:p>
            <w:pPr>
              <w:snapToGrid w:val="0"/>
              <w:spacing w:before="190" w:beforeLines="50" w:after="190" w:afterLines="50"/>
              <w:jc w:val="center"/>
              <w:rPr>
                <w:rFonts w:ascii="仿宋" w:hAnsi="仿宋" w:eastAsia="仿宋"/>
                <w:sz w:val="21"/>
                <w:szCs w:val="21"/>
              </w:rPr>
            </w:pPr>
            <w:r>
              <w:rPr>
                <w:rFonts w:hint="eastAsia" w:ascii="仿宋" w:hAnsi="仿宋" w:eastAsia="仿宋"/>
                <w:sz w:val="21"/>
                <w:szCs w:val="21"/>
              </w:rPr>
              <w:t>项目名称</w:t>
            </w:r>
          </w:p>
        </w:tc>
        <w:tc>
          <w:tcPr>
            <w:tcW w:w="7053" w:type="dxa"/>
            <w:gridSpan w:val="3"/>
          </w:tcPr>
          <w:p>
            <w:pPr>
              <w:snapToGrid w:val="0"/>
              <w:spacing w:before="190" w:beforeLines="50" w:line="360" w:lineRule="auto"/>
              <w:rPr>
                <w:rFonts w:ascii="仿宋" w:hAnsi="仿宋" w:eastAsia="仿宋"/>
                <w:sz w:val="21"/>
                <w:szCs w:val="21"/>
              </w:rPr>
            </w:pPr>
            <w:r>
              <w:rPr>
                <w:rFonts w:hint="eastAsia" w:ascii="仿宋" w:hAnsi="仿宋" w:eastAsia="仿宋"/>
                <w:sz w:val="21"/>
                <w:szCs w:val="21"/>
              </w:rPr>
              <w:t>光盘行动专项基金</w:t>
            </w:r>
          </w:p>
          <w:p>
            <w:pPr>
              <w:snapToGrid w:val="0"/>
              <w:spacing w:line="360" w:lineRule="auto"/>
              <w:rPr>
                <w:rFonts w:ascii="仿宋" w:hAnsi="仿宋" w:eastAsia="仿宋"/>
                <w:sz w:val="21"/>
                <w:szCs w:val="21"/>
              </w:rPr>
            </w:pPr>
            <w:r>
              <w:rPr>
                <w:rFonts w:hint="eastAsia" w:ascii="仿宋" w:hAnsi="仿宋" w:eastAsia="仿宋"/>
                <w:sz w:val="21"/>
                <w:szCs w:val="21"/>
              </w:rPr>
              <w:t>（北京美灵公益基金会资助、中国光华科技基金会支持）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shd w:val="clear" w:color="auto" w:fill="D8D8D8" w:themeFill="background1" w:themeFillShade="D9"/>
            <w:vAlign w:val="center"/>
          </w:tcPr>
          <w:p>
            <w:pPr>
              <w:snapToGrid w:val="0"/>
              <w:spacing w:before="190" w:beforeLines="50" w:after="190" w:afterLines="50"/>
              <w:jc w:val="center"/>
              <w:rPr>
                <w:rFonts w:ascii="仿宋" w:hAnsi="仿宋" w:eastAsia="仿宋"/>
                <w:sz w:val="21"/>
                <w:szCs w:val="21"/>
              </w:rPr>
            </w:pPr>
            <w:r>
              <w:rPr>
                <w:rFonts w:hint="eastAsia" w:ascii="仿宋" w:hAnsi="仿宋" w:eastAsia="仿宋"/>
                <w:sz w:val="21"/>
                <w:szCs w:val="21"/>
              </w:rPr>
              <w:t>项目宗旨</w:t>
            </w:r>
          </w:p>
        </w:tc>
        <w:tc>
          <w:tcPr>
            <w:tcW w:w="7053" w:type="dxa"/>
            <w:gridSpan w:val="3"/>
          </w:tcPr>
          <w:p>
            <w:pPr>
              <w:snapToGrid w:val="0"/>
              <w:spacing w:before="133" w:beforeLines="35" w:line="360" w:lineRule="auto"/>
              <w:rPr>
                <w:rFonts w:ascii="仿宋" w:hAnsi="仿宋" w:eastAsia="仿宋"/>
                <w:sz w:val="21"/>
                <w:szCs w:val="21"/>
              </w:rPr>
            </w:pPr>
            <w:r>
              <w:rPr>
                <w:rFonts w:hint="eastAsia" w:ascii="仿宋" w:hAnsi="仿宋" w:eastAsia="仿宋"/>
                <w:sz w:val="21"/>
                <w:szCs w:val="21"/>
              </w:rPr>
              <w:t>响应党和政府号召，开展文明餐桌公益行动——以节约、环保的生态文明素养教育及传播为基础，以光盘打卡为实践，</w:t>
            </w:r>
            <w:r>
              <w:rPr>
                <w:rFonts w:ascii="仿宋" w:hAnsi="仿宋" w:eastAsia="仿宋"/>
                <w:sz w:val="21"/>
                <w:szCs w:val="21"/>
              </w:rPr>
              <w:t>构建制止餐饮浪费长效机制，实现公益助公益的</w:t>
            </w:r>
            <w:r>
              <w:rPr>
                <w:rFonts w:hint="eastAsia" w:ascii="仿宋" w:hAnsi="仿宋" w:eastAsia="仿宋"/>
                <w:sz w:val="21"/>
                <w:szCs w:val="21"/>
              </w:rPr>
              <w:t>美灵公益系列品牌。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shd w:val="clear" w:color="auto" w:fill="D8D8D8" w:themeFill="background1" w:themeFillShade="D9"/>
            <w:vAlign w:val="center"/>
          </w:tcPr>
          <w:p>
            <w:pPr>
              <w:snapToGrid w:val="0"/>
              <w:spacing w:before="190" w:beforeLines="50" w:after="190" w:afterLines="50" w:line="360" w:lineRule="auto"/>
              <w:jc w:val="center"/>
              <w:rPr>
                <w:rFonts w:ascii="仿宋" w:hAnsi="仿宋" w:eastAsia="仿宋"/>
                <w:sz w:val="21"/>
                <w:szCs w:val="21"/>
              </w:rPr>
            </w:pPr>
            <w:r>
              <w:rPr>
                <w:rFonts w:hint="eastAsia" w:ascii="仿宋" w:hAnsi="仿宋" w:eastAsia="仿宋"/>
                <w:sz w:val="21"/>
                <w:szCs w:val="21"/>
              </w:rPr>
              <w:t>团队           负 责 人</w:t>
            </w:r>
          </w:p>
        </w:tc>
        <w:tc>
          <w:tcPr>
            <w:tcW w:w="2888" w:type="dxa"/>
            <w:vAlign w:val="center"/>
          </w:tcPr>
          <w:p>
            <w:pPr>
              <w:snapToGrid w:val="0"/>
              <w:spacing w:before="133" w:beforeLines="35" w:line="360" w:lineRule="auto"/>
              <w:rPr>
                <w:rFonts w:ascii="仿宋" w:hAnsi="仿宋" w:eastAsia="仿宋"/>
                <w:sz w:val="21"/>
                <w:szCs w:val="21"/>
              </w:rPr>
            </w:pPr>
            <w:r>
              <w:rPr>
                <w:rFonts w:hint="eastAsia" w:ascii="仿宋" w:hAnsi="仿宋" w:eastAsia="仿宋"/>
                <w:sz w:val="21"/>
                <w:szCs w:val="21"/>
              </w:rPr>
              <w:t>柳济琛</w:t>
            </w:r>
          </w:p>
          <w:p>
            <w:pPr>
              <w:snapToGrid w:val="0"/>
              <w:spacing w:line="360" w:lineRule="auto"/>
              <w:rPr>
                <w:rFonts w:ascii="仿宋" w:hAnsi="仿宋" w:eastAsia="仿宋"/>
                <w:sz w:val="21"/>
                <w:szCs w:val="21"/>
              </w:rPr>
            </w:pPr>
            <w:r>
              <w:rPr>
                <w:rFonts w:hint="eastAsia" w:ascii="仿宋" w:hAnsi="仿宋" w:eastAsia="仿宋"/>
                <w:sz w:val="21"/>
                <w:szCs w:val="21"/>
              </w:rPr>
              <w:t>（光盘打卡创始人、</w:t>
            </w:r>
            <w:r>
              <w:rPr>
                <w:rFonts w:ascii="仿宋" w:hAnsi="仿宋" w:eastAsia="仿宋"/>
                <w:sz w:val="21"/>
                <w:szCs w:val="21"/>
              </w:rPr>
              <w:t>中国首位联合国可持续发展目标青年领袖，曾获联合国开发计划署青年创客挑战赛冠军、清华大学创业大赛金奖等荣誉，长期致力于饮食和可持续发展相关议题）</w:t>
            </w:r>
          </w:p>
        </w:tc>
        <w:tc>
          <w:tcPr>
            <w:tcW w:w="1223" w:type="dxa"/>
            <w:shd w:val="clear" w:color="auto" w:fill="D8D8D8" w:themeFill="background1" w:themeFillShade="D9"/>
            <w:vAlign w:val="center"/>
          </w:tcPr>
          <w:p>
            <w:pPr>
              <w:snapToGrid w:val="0"/>
              <w:spacing w:before="190" w:beforeLines="50" w:after="190" w:afterLines="50" w:line="360" w:lineRule="auto"/>
              <w:jc w:val="center"/>
              <w:rPr>
                <w:rFonts w:ascii="仿宋" w:hAnsi="仿宋" w:eastAsia="仿宋"/>
                <w:sz w:val="21"/>
                <w:szCs w:val="21"/>
              </w:rPr>
            </w:pPr>
            <w:r>
              <w:rPr>
                <w:rFonts w:hint="eastAsia" w:ascii="仿宋" w:hAnsi="仿宋" w:eastAsia="仿宋"/>
                <w:sz w:val="21"/>
                <w:szCs w:val="21"/>
              </w:rPr>
              <w:t>团队          核心成员</w:t>
            </w:r>
          </w:p>
        </w:tc>
        <w:tc>
          <w:tcPr>
            <w:tcW w:w="2942" w:type="dxa"/>
            <w:vAlign w:val="center"/>
          </w:tcPr>
          <w:p>
            <w:pPr>
              <w:snapToGrid w:val="0"/>
              <w:spacing w:before="133" w:beforeLines="35" w:line="360" w:lineRule="auto"/>
              <w:rPr>
                <w:rFonts w:ascii="仿宋" w:hAnsi="仿宋" w:eastAsia="仿宋"/>
                <w:sz w:val="21"/>
                <w:szCs w:val="21"/>
              </w:rPr>
            </w:pPr>
            <w:r>
              <w:rPr>
                <w:rFonts w:hint="eastAsia" w:ascii="仿宋" w:hAnsi="仿宋" w:eastAsia="仿宋"/>
                <w:sz w:val="21"/>
                <w:szCs w:val="21"/>
              </w:rPr>
              <w:t>程振旺</w:t>
            </w:r>
          </w:p>
          <w:p>
            <w:pPr>
              <w:snapToGrid w:val="0"/>
              <w:spacing w:line="360" w:lineRule="auto"/>
              <w:rPr>
                <w:rFonts w:ascii="仿宋" w:hAnsi="仿宋" w:eastAsia="仿宋"/>
                <w:sz w:val="21"/>
                <w:szCs w:val="21"/>
              </w:rPr>
            </w:pPr>
            <w:r>
              <w:rPr>
                <w:rFonts w:hint="eastAsia" w:ascii="仿宋" w:hAnsi="仿宋" w:eastAsia="仿宋"/>
                <w:sz w:val="21"/>
                <w:szCs w:val="21"/>
              </w:rPr>
              <w:t>（光盘打卡联合创始人，长期关注生态环保领域，具有丰富的电商、餐饮从业经验及渠道供应链经验）</w:t>
            </w:r>
          </w:p>
          <w:p>
            <w:pPr>
              <w:snapToGrid w:val="0"/>
              <w:spacing w:line="360" w:lineRule="auto"/>
              <w:rPr>
                <w:rFonts w:ascii="仿宋" w:hAnsi="仿宋" w:eastAsia="仿宋"/>
                <w:sz w:val="21"/>
                <w:szCs w:val="21"/>
              </w:rPr>
            </w:pPr>
            <w:r>
              <w:rPr>
                <w:rFonts w:hint="eastAsia" w:ascii="仿宋" w:hAnsi="仿宋" w:eastAsia="仿宋"/>
                <w:sz w:val="21"/>
                <w:szCs w:val="21"/>
              </w:rPr>
              <w:t>曾晨雨</w:t>
            </w:r>
          </w:p>
          <w:p>
            <w:pPr>
              <w:snapToGrid w:val="0"/>
              <w:spacing w:line="360" w:lineRule="auto"/>
              <w:rPr>
                <w:rFonts w:ascii="仿宋" w:hAnsi="仿宋" w:eastAsia="仿宋"/>
                <w:sz w:val="21"/>
                <w:szCs w:val="21"/>
              </w:rPr>
            </w:pPr>
            <w:r>
              <w:rPr>
                <w:rFonts w:hint="eastAsia" w:ascii="仿宋" w:hAnsi="仿宋" w:eastAsia="仿宋"/>
                <w:sz w:val="21"/>
                <w:szCs w:val="21"/>
              </w:rPr>
              <w:t>（光盘打卡联合创始人、</w:t>
            </w:r>
            <w:r>
              <w:rPr>
                <w:rFonts w:ascii="仿宋" w:hAnsi="仿宋" w:eastAsia="仿宋"/>
                <w:sz w:val="21"/>
                <w:szCs w:val="21"/>
              </w:rPr>
              <w:t>国际志愿者，在企业CSR、品牌传播领域具有丰富经验</w:t>
            </w:r>
            <w:r>
              <w:rPr>
                <w:rFonts w:hint="eastAsia" w:ascii="仿宋" w:hAnsi="仿宋" w:eastAsia="仿宋"/>
                <w:sz w:val="21"/>
                <w:szCs w:val="21"/>
              </w:rPr>
              <w:t>）</w:t>
            </w:r>
          </w:p>
          <w:p>
            <w:pPr>
              <w:snapToGrid w:val="0"/>
              <w:spacing w:line="360" w:lineRule="auto"/>
              <w:rPr>
                <w:rFonts w:ascii="仿宋" w:hAnsi="仿宋" w:eastAsia="仿宋"/>
                <w:sz w:val="21"/>
                <w:szCs w:val="21"/>
              </w:rPr>
            </w:pPr>
            <w:r>
              <w:rPr>
                <w:rFonts w:hint="eastAsia" w:ascii="仿宋" w:hAnsi="仿宋" w:eastAsia="仿宋"/>
                <w:sz w:val="21"/>
                <w:szCs w:val="21"/>
              </w:rPr>
              <w:t>王增康</w:t>
            </w:r>
          </w:p>
          <w:p>
            <w:pPr>
              <w:snapToGrid w:val="0"/>
              <w:spacing w:line="360" w:lineRule="auto"/>
              <w:rPr>
                <w:rFonts w:ascii="仿宋" w:hAnsi="仿宋" w:eastAsia="仿宋"/>
                <w:sz w:val="21"/>
                <w:szCs w:val="21"/>
              </w:rPr>
            </w:pPr>
            <w:r>
              <w:rPr>
                <w:rFonts w:hint="eastAsia" w:ascii="仿宋" w:hAnsi="仿宋" w:eastAsia="仿宋"/>
                <w:sz w:val="21"/>
                <w:szCs w:val="21"/>
              </w:rPr>
              <w:t>（全栈工程师，精通人工智能深度学习技术，曾</w:t>
            </w:r>
            <w:r>
              <w:rPr>
                <w:rFonts w:ascii="仿宋" w:hAnsi="仿宋" w:eastAsia="仿宋"/>
                <w:sz w:val="21"/>
                <w:szCs w:val="21"/>
              </w:rPr>
              <w:t>获互联网+大创赛山东省冠军等荣誉</w:t>
            </w:r>
            <w:r>
              <w:rPr>
                <w:rFonts w:hint="eastAsia" w:ascii="仿宋" w:hAnsi="仿宋" w:eastAsia="仿宋"/>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6" w:type="dxa"/>
            <w:shd w:val="clear" w:color="auto" w:fill="D8D8D8" w:themeFill="background1" w:themeFillShade="D9"/>
          </w:tcPr>
          <w:p>
            <w:pPr>
              <w:snapToGrid w:val="0"/>
              <w:spacing w:before="190" w:beforeLines="50" w:after="190" w:afterLines="50"/>
              <w:jc w:val="center"/>
              <w:rPr>
                <w:rFonts w:ascii="仿宋" w:hAnsi="仿宋" w:eastAsia="仿宋"/>
                <w:sz w:val="21"/>
                <w:szCs w:val="21"/>
              </w:rPr>
            </w:pPr>
            <w:r>
              <w:rPr>
                <w:rFonts w:hint="eastAsia" w:ascii="仿宋" w:hAnsi="仿宋" w:eastAsia="仿宋"/>
                <w:sz w:val="21"/>
                <w:szCs w:val="21"/>
              </w:rPr>
              <w:t>联系电话</w:t>
            </w:r>
          </w:p>
        </w:tc>
        <w:tc>
          <w:tcPr>
            <w:tcW w:w="2888" w:type="dxa"/>
          </w:tcPr>
          <w:p>
            <w:pPr>
              <w:snapToGrid w:val="0"/>
              <w:spacing w:before="190" w:beforeLines="50" w:after="190" w:afterLines="50"/>
              <w:rPr>
                <w:rFonts w:ascii="仿宋" w:hAnsi="仿宋" w:eastAsia="仿宋"/>
                <w:sz w:val="21"/>
                <w:szCs w:val="21"/>
              </w:rPr>
            </w:pPr>
            <w:r>
              <w:rPr>
                <w:rFonts w:hint="eastAsia" w:ascii="仿宋" w:hAnsi="仿宋" w:eastAsia="仿宋"/>
                <w:sz w:val="21"/>
                <w:szCs w:val="21"/>
              </w:rPr>
              <w:t>18813119959</w:t>
            </w:r>
          </w:p>
        </w:tc>
        <w:tc>
          <w:tcPr>
            <w:tcW w:w="1223" w:type="dxa"/>
            <w:shd w:val="clear" w:color="auto" w:fill="D8D8D8" w:themeFill="background1" w:themeFillShade="D9"/>
          </w:tcPr>
          <w:p>
            <w:pPr>
              <w:snapToGrid w:val="0"/>
              <w:spacing w:before="190" w:beforeLines="50" w:after="190" w:afterLines="50"/>
              <w:jc w:val="center"/>
              <w:rPr>
                <w:rFonts w:ascii="仿宋" w:hAnsi="仿宋" w:eastAsia="仿宋"/>
                <w:sz w:val="21"/>
                <w:szCs w:val="21"/>
              </w:rPr>
            </w:pPr>
            <w:r>
              <w:rPr>
                <w:rFonts w:hint="eastAsia" w:ascii="仿宋" w:hAnsi="仿宋" w:eastAsia="仿宋"/>
                <w:sz w:val="21"/>
                <w:szCs w:val="21"/>
              </w:rPr>
              <w:t>联系邮箱</w:t>
            </w:r>
          </w:p>
        </w:tc>
        <w:tc>
          <w:tcPr>
            <w:tcW w:w="2942" w:type="dxa"/>
          </w:tcPr>
          <w:p>
            <w:pPr>
              <w:snapToGrid w:val="0"/>
              <w:spacing w:before="190" w:beforeLines="50" w:after="190" w:afterLines="50"/>
              <w:rPr>
                <w:rFonts w:ascii="仿宋" w:hAnsi="仿宋" w:eastAsia="仿宋"/>
                <w:sz w:val="21"/>
                <w:szCs w:val="21"/>
              </w:rPr>
            </w:pPr>
            <w:r>
              <w:rPr>
                <w:rFonts w:hint="eastAsia" w:ascii="仿宋" w:hAnsi="仿宋" w:eastAsia="仿宋"/>
                <w:sz w:val="21"/>
                <w:szCs w:val="21"/>
              </w:rPr>
              <w:t>liujichen@clearplate.com</w:t>
            </w:r>
          </w:p>
        </w:tc>
      </w:tr>
    </w:tbl>
    <w:p>
      <w:pPr>
        <w:snapToGrid w:val="0"/>
        <w:spacing w:before="381" w:beforeLines="100" w:line="360" w:lineRule="auto"/>
        <w:rPr>
          <w:rFonts w:ascii="华文中宋" w:hAnsi="华文中宋" w:eastAsia="华文中宋"/>
          <w:sz w:val="24"/>
          <w:szCs w:val="24"/>
        </w:rPr>
      </w:pPr>
      <w:r>
        <w:rPr>
          <w:rFonts w:hint="eastAsia" w:ascii="华文中宋" w:hAnsi="华文中宋" w:eastAsia="华文中宋"/>
          <w:sz w:val="24"/>
          <w:szCs w:val="24"/>
        </w:rPr>
        <w:t>一、项目概述</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2021年1月，光盘行动专项基金由北京美灵公益基金会资助支持在中国光华科技基金会正式设立。</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光盘行动专项基金响应习总书记“坚决制止餐饮浪费行为”重要指示，以开展文明餐桌行动为宗旨，</w:t>
      </w:r>
      <w:r>
        <w:rPr>
          <w:rFonts w:ascii="仿宋" w:hAnsi="仿宋" w:eastAsia="仿宋"/>
          <w:sz w:val="24"/>
          <w:szCs w:val="24"/>
        </w:rPr>
        <w:t>通过生态文明素养教育、光盘打卡实践、公益配捐扶贫济困的多轮驱动模式，构建制止餐饮浪费长效机制和以公益助公益的互联网</w:t>
      </w:r>
      <w:r>
        <w:rPr>
          <w:rFonts w:hint="eastAsia" w:ascii="仿宋" w:hAnsi="仿宋" w:eastAsia="仿宋"/>
          <w:sz w:val="24"/>
          <w:szCs w:val="24"/>
        </w:rPr>
        <w:t>+公益模式</w:t>
      </w:r>
      <w:r>
        <w:rPr>
          <w:rFonts w:ascii="仿宋" w:hAnsi="仿宋" w:eastAsia="仿宋"/>
          <w:sz w:val="24"/>
          <w:szCs w:val="24"/>
        </w:rPr>
        <w:t>，从而</w:t>
      </w:r>
      <w:r>
        <w:rPr>
          <w:rFonts w:hint="eastAsia" w:ascii="仿宋" w:hAnsi="仿宋" w:eastAsia="仿宋"/>
          <w:sz w:val="24"/>
          <w:szCs w:val="24"/>
        </w:rPr>
        <w:t>促进公益和生态文明事业共同发展。</w:t>
      </w:r>
    </w:p>
    <w:p>
      <w:pPr>
        <w:pStyle w:val="16"/>
        <w:numPr>
          <w:ilvl w:val="0"/>
          <w:numId w:val="1"/>
        </w:numPr>
        <w:snapToGrid w:val="0"/>
        <w:spacing w:line="360" w:lineRule="auto"/>
        <w:ind w:firstLineChars="0"/>
        <w:rPr>
          <w:rFonts w:ascii="仿宋" w:hAnsi="仿宋" w:eastAsia="仿宋"/>
          <w:sz w:val="24"/>
          <w:szCs w:val="24"/>
        </w:rPr>
      </w:pPr>
      <w:r>
        <w:rPr>
          <w:rFonts w:hint="eastAsia" w:ascii="仿宋" w:hAnsi="仿宋" w:eastAsia="仿宋"/>
          <w:sz w:val="24"/>
          <w:szCs w:val="24"/>
        </w:rPr>
        <w:t>节约环保教育先行</w:t>
      </w:r>
    </w:p>
    <w:p>
      <w:pPr>
        <w:snapToGrid w:val="0"/>
        <w:spacing w:line="360" w:lineRule="auto"/>
        <w:ind w:firstLine="480" w:firstLineChars="200"/>
        <w:rPr>
          <w:rFonts w:ascii="仿宋" w:hAnsi="仿宋" w:eastAsia="仿宋" w:cs="仿宋"/>
          <w:sz w:val="24"/>
          <w:szCs w:val="24"/>
        </w:rPr>
      </w:pPr>
      <w:r>
        <w:rPr>
          <w:rFonts w:hint="eastAsia" w:ascii="仿宋" w:hAnsi="仿宋" w:eastAsia="仿宋"/>
          <w:sz w:val="24"/>
          <w:szCs w:val="24"/>
        </w:rPr>
        <w:t>光盘行动专项基</w:t>
      </w:r>
      <w:r>
        <w:rPr>
          <w:rFonts w:hint="eastAsia" w:ascii="仿宋" w:hAnsi="仿宋" w:eastAsia="仿宋" w:cs="仿宋"/>
          <w:sz w:val="24"/>
          <w:szCs w:val="24"/>
        </w:rPr>
        <w:t>金以节约、环保的生态文明素养教育及传播为重中之重，不断完善教育内容，注重青少年尊重食物、就餐光盘、垃圾分类等绿色生活习惯的养成，并在社会公共机构宣传推广。</w:t>
      </w:r>
    </w:p>
    <w:p>
      <w:pPr>
        <w:pStyle w:val="16"/>
        <w:numPr>
          <w:ilvl w:val="0"/>
          <w:numId w:val="1"/>
        </w:numPr>
        <w:snapToGrid w:val="0"/>
        <w:spacing w:line="360" w:lineRule="auto"/>
        <w:ind w:firstLineChars="0"/>
        <w:rPr>
          <w:rFonts w:ascii="仿宋" w:hAnsi="仿宋" w:eastAsia="仿宋"/>
          <w:sz w:val="24"/>
          <w:szCs w:val="24"/>
        </w:rPr>
      </w:pPr>
      <w:r>
        <w:rPr>
          <w:rFonts w:hint="eastAsia" w:ascii="仿宋" w:hAnsi="仿宋" w:eastAsia="仿宋"/>
          <w:sz w:val="24"/>
          <w:szCs w:val="24"/>
        </w:rPr>
        <w:t>落实行动光盘打卡</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光盘行动专项基金以“光盘打卡”为实践平台，以全国各高校为重点和切入点，推动由知而行，让节约环保从口头倡导落地为切实的公益行动。</w:t>
      </w:r>
    </w:p>
    <w:p>
      <w:pPr>
        <w:pStyle w:val="16"/>
        <w:numPr>
          <w:ilvl w:val="0"/>
          <w:numId w:val="1"/>
        </w:numPr>
        <w:snapToGrid w:val="0"/>
        <w:spacing w:line="360" w:lineRule="auto"/>
        <w:ind w:firstLineChars="0"/>
        <w:rPr>
          <w:rFonts w:ascii="仿宋" w:hAnsi="仿宋" w:eastAsia="仿宋"/>
          <w:sz w:val="24"/>
          <w:szCs w:val="24"/>
        </w:rPr>
      </w:pPr>
      <w:r>
        <w:rPr>
          <w:rFonts w:hint="eastAsia" w:ascii="仿宋" w:hAnsi="仿宋" w:eastAsia="仿宋"/>
          <w:sz w:val="24"/>
          <w:szCs w:val="24"/>
        </w:rPr>
        <w:t>环保贡献获得奖励</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光盘行动专项基金通过“政府+公益+企业社会责任”、“科技+公益+奖励”模式的建立与完善，形成项目参与者的数字化公益资产，并以公益奖励兑换、公益捐赠等公益资产流动创新，持续扩大项目规模和成效。</w:t>
      </w:r>
    </w:p>
    <w:p>
      <w:pPr>
        <w:pStyle w:val="16"/>
        <w:numPr>
          <w:ilvl w:val="0"/>
          <w:numId w:val="1"/>
        </w:numPr>
        <w:snapToGrid w:val="0"/>
        <w:spacing w:line="360" w:lineRule="auto"/>
        <w:ind w:firstLineChars="0"/>
        <w:rPr>
          <w:rFonts w:ascii="仿宋" w:hAnsi="仿宋" w:eastAsia="仿宋"/>
          <w:sz w:val="24"/>
          <w:szCs w:val="24"/>
        </w:rPr>
      </w:pPr>
      <w:r>
        <w:rPr>
          <w:rFonts w:hint="eastAsia" w:ascii="仿宋" w:hAnsi="仿宋" w:eastAsia="仿宋"/>
          <w:sz w:val="24"/>
          <w:szCs w:val="24"/>
        </w:rPr>
        <w:t>配捐打造公益闭环</w:t>
      </w:r>
    </w:p>
    <w:p>
      <w:pPr>
        <w:snapToGrid w:val="0"/>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光盘行动专项基金以光盘积分捐赠、爱心机构配捐等形式，</w:t>
      </w:r>
      <w:r>
        <w:rPr>
          <w:rFonts w:ascii="仿宋" w:hAnsi="仿宋" w:eastAsia="仿宋"/>
          <w:sz w:val="24"/>
          <w:szCs w:val="24"/>
        </w:rPr>
        <w:t>推动以公益助公益的可持续发展机制，并聚焦教育、健康和扶贫以及社会救助领域，打造“美</w:t>
      </w:r>
      <w:r>
        <w:rPr>
          <w:rFonts w:hint="eastAsia" w:ascii="仿宋" w:hAnsi="仿宋" w:eastAsia="仿宋"/>
          <w:sz w:val="24"/>
          <w:szCs w:val="24"/>
        </w:rPr>
        <w:t>灵</w:t>
      </w:r>
      <w:r>
        <w:rPr>
          <w:rFonts w:ascii="仿宋" w:hAnsi="仿宋" w:eastAsia="仿宋"/>
          <w:sz w:val="24"/>
          <w:szCs w:val="24"/>
        </w:rPr>
        <w:t>·光盘打卡”品牌项目，不断提升项目影响力</w:t>
      </w:r>
      <w:r>
        <w:rPr>
          <w:rFonts w:hint="eastAsia" w:ascii="仿宋" w:hAnsi="仿宋" w:eastAsia="仿宋" w:cs="仿宋"/>
          <w:sz w:val="24"/>
          <w:szCs w:val="24"/>
        </w:rPr>
        <w:t>。</w:t>
      </w:r>
    </w:p>
    <w:p>
      <w:pPr>
        <w:snapToGrid w:val="0"/>
        <w:spacing w:before="133" w:beforeLines="35" w:line="360" w:lineRule="auto"/>
        <w:rPr>
          <w:rFonts w:ascii="华文中宋" w:hAnsi="华文中宋" w:eastAsia="华文中宋"/>
          <w:sz w:val="24"/>
          <w:szCs w:val="24"/>
        </w:rPr>
      </w:pPr>
      <w:r>
        <w:rPr>
          <w:rFonts w:hint="eastAsia" w:ascii="华文中宋" w:hAnsi="华文中宋" w:eastAsia="华文中宋"/>
          <w:sz w:val="24"/>
          <w:szCs w:val="24"/>
        </w:rPr>
        <w:t>二、项目进展</w:t>
      </w:r>
    </w:p>
    <w:p>
      <w:pPr>
        <w:snapToGrid w:val="0"/>
        <w:spacing w:line="360" w:lineRule="auto"/>
        <w:ind w:firstLine="480" w:firstLineChars="200"/>
        <w:rPr>
          <w:rFonts w:ascii="仿宋" w:hAnsi="仿宋" w:eastAsia="仿宋"/>
          <w:sz w:val="24"/>
          <w:szCs w:val="24"/>
        </w:rPr>
      </w:pPr>
      <w:r>
        <w:rPr>
          <w:rFonts w:hint="eastAsia" w:ascii="仿宋" w:hAnsi="仿宋" w:eastAsia="仿宋" w:cs="仿宋"/>
          <w:sz w:val="24"/>
          <w:szCs w:val="24"/>
        </w:rPr>
        <w:t>光盘行动专项基金</w:t>
      </w:r>
      <w:r>
        <w:rPr>
          <w:rFonts w:hint="eastAsia" w:ascii="仿宋" w:hAnsi="仿宋" w:eastAsia="仿宋"/>
          <w:sz w:val="24"/>
          <w:szCs w:val="24"/>
        </w:rPr>
        <w:t>在全社会积极响应习总书记重要指示的良好态势下发展迅速。截至2021年底，光盘打卡用户已覆盖全国各地，累计用户490万、入驻机构2493</w:t>
      </w:r>
      <w:r>
        <w:rPr>
          <w:rFonts w:hint="eastAsia" w:ascii="仿宋" w:hAnsi="仿宋" w:eastAsia="仿宋" w:cs="仿宋"/>
          <w:sz w:val="24"/>
          <w:szCs w:val="24"/>
        </w:rPr>
        <w:t>家，</w:t>
      </w:r>
      <w:r>
        <w:rPr>
          <w:rFonts w:hint="eastAsia" w:ascii="仿宋" w:hAnsi="仿宋" w:eastAsia="仿宋"/>
          <w:sz w:val="24"/>
          <w:szCs w:val="24"/>
        </w:rPr>
        <w:t>累计打卡5988万次，</w:t>
      </w:r>
      <w:r>
        <w:rPr>
          <w:rFonts w:hint="eastAsia" w:ascii="仿宋" w:hAnsi="仿宋" w:eastAsia="仿宋" w:cs="仿宋"/>
          <w:sz w:val="24"/>
          <w:szCs w:val="24"/>
        </w:rPr>
        <w:t>携手爱心企业捐赠善款近百万元。</w:t>
      </w:r>
      <w:r>
        <w:rPr>
          <w:rFonts w:hint="eastAsia" w:ascii="仿宋" w:hAnsi="仿宋" w:eastAsia="仿宋"/>
          <w:sz w:val="24"/>
          <w:szCs w:val="24"/>
        </w:rPr>
        <w:t>光盘行动专项基金，愿点滴爱心汇聚成海，让公益小事焕发大能量。</w:t>
      </w:r>
    </w:p>
    <w:p>
      <w:pPr>
        <w:snapToGrid w:val="0"/>
        <w:spacing w:before="95" w:beforeLines="25" w:after="95" w:afterLines="25" w:line="360" w:lineRule="auto"/>
        <w:rPr>
          <w:rFonts w:ascii="仿宋" w:hAnsi="仿宋" w:eastAsia="仿宋" w:cs="仿宋"/>
          <w:sz w:val="24"/>
          <w:szCs w:val="24"/>
        </w:rPr>
      </w:pPr>
      <w:r>
        <w:rPr>
          <w:rFonts w:ascii="仿宋" w:hAnsi="仿宋" w:eastAsia="仿宋" w:cs="仿宋"/>
          <w:sz w:val="24"/>
          <w:szCs w:val="24"/>
        </w:rPr>
        <w:drawing>
          <wp:inline distT="0" distB="0" distL="0" distR="0">
            <wp:extent cx="5278120" cy="1770380"/>
            <wp:effectExtent l="19050" t="0" r="0" b="0"/>
            <wp:docPr id="3" name="图片 1" descr="微信图片_2020122310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201223105453.jpg"/>
                    <pic:cNvPicPr>
                      <a:picLocks noChangeAspect="1"/>
                    </pic:cNvPicPr>
                  </pic:nvPicPr>
                  <pic:blipFill>
                    <a:blip r:embed="rId5" cstate="print"/>
                    <a:stretch>
                      <a:fillRect/>
                    </a:stretch>
                  </pic:blipFill>
                  <pic:spPr>
                    <a:xfrm>
                      <a:off x="0" y="0"/>
                      <a:ext cx="5278120" cy="1770589"/>
                    </a:xfrm>
                    <a:prstGeom prst="rect">
                      <a:avLst/>
                    </a:prstGeom>
                  </pic:spPr>
                </pic:pic>
              </a:graphicData>
            </a:graphic>
          </wp:inline>
        </w:drawing>
      </w:r>
    </w:p>
    <w:p>
      <w:pPr>
        <w:snapToGrid w:val="0"/>
        <w:spacing w:line="360" w:lineRule="auto"/>
        <w:rPr>
          <w:rFonts w:ascii="黑体" w:hAnsi="黑体" w:eastAsia="黑体" w:cs="仿宋"/>
          <w:sz w:val="21"/>
          <w:szCs w:val="21"/>
        </w:rPr>
      </w:pPr>
      <w:r>
        <w:rPr>
          <w:rFonts w:hint="eastAsia" w:ascii="黑体" w:hAnsi="黑体" w:eastAsia="黑体" w:cs="仿宋"/>
          <w:sz w:val="21"/>
          <w:szCs w:val="21"/>
        </w:rPr>
        <w:t>光盘打卡平台：不同于传统方法，光盘打卡以更具吸引力的机制激励参与者——参与者</w:t>
      </w:r>
      <w:r>
        <w:rPr>
          <w:rFonts w:hint="eastAsia" w:ascii="黑体" w:hAnsi="黑体" w:eastAsia="黑体"/>
          <w:sz w:val="21"/>
          <w:szCs w:val="21"/>
        </w:rPr>
        <w:t>对餐后“光盘”拍照，经由AI智能识别后获得积分奖励，积分可以兑换扶贫助农等产品，亦可捐赠给公益项目，由爱心企业配捐善款。</w:t>
      </w:r>
    </w:p>
    <w:p>
      <w:pPr>
        <w:snapToGrid w:val="0"/>
        <w:spacing w:line="360" w:lineRule="auto"/>
        <w:rPr>
          <w:rFonts w:ascii="仿宋" w:hAnsi="仿宋" w:eastAsia="仿宋"/>
          <w:sz w:val="24"/>
          <w:szCs w:val="24"/>
        </w:rPr>
      </w:pPr>
      <w:r>
        <w:rPr>
          <w:rFonts w:ascii="仿宋" w:hAnsi="仿宋" w:eastAsia="仿宋"/>
          <w:sz w:val="24"/>
          <w:szCs w:val="24"/>
        </w:rPr>
        <w:drawing>
          <wp:inline distT="0" distB="0" distL="0" distR="0">
            <wp:extent cx="5274310" cy="2712720"/>
            <wp:effectExtent l="19050" t="0" r="2540" b="0"/>
            <wp:docPr id="19" name="图片 2" descr="C:\Users\XUXU\AppData\Local\Temp\WeChat Files\3ec4e159def3d9167720bb49e6df3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C:\Users\XUXU\AppData\Local\Temp\WeChat Files\3ec4e159def3d9167720bb49e6df3c8.png"/>
                    <pic:cNvPicPr>
                      <a:picLocks noChangeAspect="1" noChangeArrowheads="1"/>
                    </pic:cNvPicPr>
                  </pic:nvPicPr>
                  <pic:blipFill>
                    <a:blip r:embed="rId6" cstate="print"/>
                    <a:srcRect/>
                    <a:stretch>
                      <a:fillRect/>
                    </a:stretch>
                  </pic:blipFill>
                  <pic:spPr>
                    <a:xfrm>
                      <a:off x="0" y="0"/>
                      <a:ext cx="5274310" cy="2712772"/>
                    </a:xfrm>
                    <a:prstGeom prst="rect">
                      <a:avLst/>
                    </a:prstGeom>
                    <a:noFill/>
                    <a:ln w="9525">
                      <a:noFill/>
                      <a:miter lim="800000"/>
                      <a:headEnd/>
                      <a:tailEnd/>
                    </a:ln>
                  </pic:spPr>
                </pic:pic>
              </a:graphicData>
            </a:graphic>
          </wp:inline>
        </w:drawing>
      </w:r>
    </w:p>
    <w:p>
      <w:pPr>
        <w:pStyle w:val="16"/>
        <w:numPr>
          <w:ilvl w:val="0"/>
          <w:numId w:val="2"/>
        </w:numPr>
        <w:snapToGrid w:val="0"/>
        <w:spacing w:before="190" w:beforeLines="50" w:line="360" w:lineRule="auto"/>
        <w:ind w:firstLineChars="0"/>
        <w:rPr>
          <w:rFonts w:ascii="仿宋" w:hAnsi="仿宋" w:eastAsia="仿宋"/>
          <w:sz w:val="24"/>
          <w:szCs w:val="24"/>
        </w:rPr>
      </w:pPr>
      <w:r>
        <w:rPr>
          <w:rFonts w:hint="eastAsia" w:ascii="仿宋" w:hAnsi="仿宋" w:eastAsia="仿宋"/>
          <w:sz w:val="24"/>
          <w:szCs w:val="24"/>
        </w:rPr>
        <w:t>用户数量</w:t>
      </w:r>
    </w:p>
    <w:p>
      <w:pPr>
        <w:snapToGrid w:val="0"/>
        <w:spacing w:line="360" w:lineRule="auto"/>
        <w:ind w:firstLine="480" w:firstLineChars="200"/>
        <w:rPr>
          <w:rFonts w:ascii="仿宋" w:hAnsi="仿宋" w:eastAsia="仿宋" w:cs="宋体"/>
          <w:color w:val="3E3E3E"/>
          <w:kern w:val="0"/>
          <w:sz w:val="24"/>
          <w:szCs w:val="24"/>
        </w:rPr>
      </w:pPr>
      <w:r>
        <w:rPr>
          <w:rFonts w:hint="eastAsia" w:ascii="仿宋" w:hAnsi="仿宋" w:eastAsia="仿宋"/>
          <w:sz w:val="24"/>
          <w:szCs w:val="24"/>
        </w:rPr>
        <w:t>光盘打卡目前累计用户490万</w:t>
      </w:r>
      <w:r>
        <w:rPr>
          <w:rFonts w:hint="eastAsia" w:ascii="仿宋" w:hAnsi="仿宋" w:eastAsia="仿宋" w:cs="宋体"/>
          <w:color w:val="3E3E3E"/>
          <w:kern w:val="0"/>
          <w:sz w:val="24"/>
          <w:szCs w:val="24"/>
        </w:rPr>
        <w:t>，其中2021年新增用户71万。</w:t>
      </w:r>
    </w:p>
    <w:p>
      <w:pPr>
        <w:snapToGrid w:val="0"/>
        <w:spacing w:before="95" w:beforeLines="25"/>
        <w:jc w:val="center"/>
        <w:rPr>
          <w:rFonts w:ascii="仿宋" w:hAnsi="仿宋" w:eastAsia="仿宋"/>
          <w:sz w:val="24"/>
          <w:szCs w:val="24"/>
        </w:rPr>
      </w:pPr>
      <w:r>
        <w:rPr>
          <w:rFonts w:ascii="仿宋" w:hAnsi="仿宋" w:eastAsia="仿宋"/>
          <w:sz w:val="24"/>
          <w:szCs w:val="24"/>
        </w:rPr>
        <w:drawing>
          <wp:inline distT="0" distB="0" distL="0" distR="0">
            <wp:extent cx="5274310" cy="2428875"/>
            <wp:effectExtent l="19050" t="0" r="254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snapToGrid w:val="0"/>
        <w:spacing w:before="190" w:beforeLines="50" w:line="360" w:lineRule="auto"/>
        <w:jc w:val="center"/>
        <w:rPr>
          <w:rFonts w:ascii="黑体" w:hAnsi="黑体" w:eastAsia="黑体"/>
          <w:sz w:val="21"/>
          <w:szCs w:val="21"/>
        </w:rPr>
      </w:pPr>
      <w:r>
        <w:rPr>
          <w:rFonts w:ascii="黑体" w:hAnsi="黑体" w:eastAsia="黑体"/>
          <w:sz w:val="21"/>
          <w:szCs w:val="21"/>
        </w:rPr>
        <w:t>光盘打卡累计用户柱形图（</w:t>
      </w:r>
      <w:r>
        <w:rPr>
          <w:rFonts w:hint="eastAsia" w:ascii="黑体" w:hAnsi="黑体" w:eastAsia="黑体"/>
          <w:sz w:val="21"/>
          <w:szCs w:val="21"/>
        </w:rPr>
        <w:t>2021）</w:t>
      </w:r>
    </w:p>
    <w:p>
      <w:pPr>
        <w:snapToGrid w:val="0"/>
        <w:spacing w:before="190" w:beforeLines="50" w:after="190" w:afterLines="50" w:line="360" w:lineRule="auto"/>
        <w:jc w:val="center"/>
        <w:rPr>
          <w:rFonts w:ascii="仿宋" w:hAnsi="仿宋" w:eastAsia="仿宋"/>
          <w:sz w:val="24"/>
          <w:szCs w:val="24"/>
        </w:rPr>
      </w:pPr>
      <w:r>
        <w:rPr>
          <w:rFonts w:hint="eastAsia"/>
        </w:rPr>
        <w:drawing>
          <wp:inline distT="0" distB="0" distL="0" distR="0">
            <wp:extent cx="4933950" cy="1838325"/>
            <wp:effectExtent l="38100" t="57150" r="38100" b="47625"/>
            <wp:docPr id="18" name="图示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snapToGrid w:val="0"/>
        <w:spacing w:before="190" w:beforeLines="50" w:line="360" w:lineRule="auto"/>
        <w:jc w:val="center"/>
        <w:rPr>
          <w:rFonts w:ascii="黑体" w:hAnsi="黑体" w:eastAsia="黑体"/>
          <w:sz w:val="21"/>
          <w:szCs w:val="21"/>
        </w:rPr>
      </w:pPr>
      <w:r>
        <w:rPr>
          <w:rFonts w:hint="eastAsia" w:ascii="黑体" w:hAnsi="黑体" w:eastAsia="黑体"/>
          <w:sz w:val="21"/>
          <w:szCs w:val="21"/>
        </w:rPr>
        <w:t>光盘打卡活跃用户统计表</w:t>
      </w:r>
      <w:r>
        <w:rPr>
          <w:rFonts w:ascii="黑体" w:hAnsi="黑体" w:eastAsia="黑体"/>
          <w:sz w:val="21"/>
          <w:szCs w:val="21"/>
        </w:rPr>
        <w:t>（</w:t>
      </w:r>
      <w:r>
        <w:rPr>
          <w:rFonts w:hint="eastAsia" w:ascii="黑体" w:hAnsi="黑体" w:eastAsia="黑体"/>
          <w:sz w:val="21"/>
          <w:szCs w:val="21"/>
        </w:rPr>
        <w:t>2021）</w:t>
      </w:r>
    </w:p>
    <w:p>
      <w:pPr>
        <w:pStyle w:val="16"/>
        <w:numPr>
          <w:ilvl w:val="0"/>
          <w:numId w:val="2"/>
        </w:numPr>
        <w:snapToGrid w:val="0"/>
        <w:spacing w:before="190" w:beforeLines="50" w:line="360" w:lineRule="auto"/>
        <w:ind w:firstLineChars="0"/>
        <w:rPr>
          <w:rFonts w:ascii="仿宋" w:hAnsi="仿宋" w:eastAsia="仿宋"/>
          <w:sz w:val="24"/>
          <w:szCs w:val="24"/>
        </w:rPr>
      </w:pPr>
      <w:r>
        <w:rPr>
          <w:rFonts w:hint="eastAsia" w:ascii="仿宋" w:hAnsi="仿宋" w:eastAsia="仿宋"/>
          <w:sz w:val="24"/>
          <w:szCs w:val="24"/>
        </w:rPr>
        <w:t>用户分布</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光盘打卡活跃用户覆盖全国，其中河南、四川、云南用户占比最高，特别是18-24岁青年群体占比超过80%。</w:t>
      </w:r>
    </w:p>
    <w:p>
      <w:pPr>
        <w:snapToGrid w:val="0"/>
        <w:spacing w:before="190" w:beforeLines="50" w:line="360" w:lineRule="auto"/>
        <w:rPr>
          <w:rFonts w:ascii="仿宋" w:hAnsi="仿宋" w:eastAsia="仿宋"/>
          <w:sz w:val="24"/>
          <w:szCs w:val="24"/>
        </w:rPr>
      </w:pPr>
      <w:r>
        <w:rPr>
          <w:rFonts w:ascii="仿宋" w:hAnsi="仿宋" w:eastAsia="仿宋"/>
          <w:sz w:val="24"/>
          <w:szCs w:val="24"/>
        </w:rPr>
        <w:drawing>
          <wp:inline distT="0" distB="0" distL="0" distR="0">
            <wp:extent cx="5274310" cy="2343150"/>
            <wp:effectExtent l="19050" t="0" r="254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3" cstate="print"/>
                    <a:srcRect t="23603"/>
                    <a:stretch>
                      <a:fillRect/>
                    </a:stretch>
                  </pic:blipFill>
                  <pic:spPr>
                    <a:xfrm>
                      <a:off x="0" y="0"/>
                      <a:ext cx="5274310" cy="2343150"/>
                    </a:xfrm>
                    <a:prstGeom prst="rect">
                      <a:avLst/>
                    </a:prstGeom>
                  </pic:spPr>
                </pic:pic>
              </a:graphicData>
            </a:graphic>
          </wp:inline>
        </w:drawing>
      </w:r>
    </w:p>
    <w:p>
      <w:pPr>
        <w:snapToGrid w:val="0"/>
        <w:spacing w:before="190" w:beforeLines="50" w:after="381" w:afterLines="100" w:line="360" w:lineRule="auto"/>
        <w:jc w:val="center"/>
        <w:rPr>
          <w:rFonts w:ascii="黑体" w:hAnsi="黑体" w:eastAsia="黑体"/>
          <w:sz w:val="21"/>
          <w:szCs w:val="21"/>
        </w:rPr>
      </w:pPr>
      <w:r>
        <w:rPr>
          <w:rFonts w:hint="eastAsia" w:ascii="黑体" w:hAnsi="黑体" w:eastAsia="黑体"/>
          <w:sz w:val="21"/>
          <w:szCs w:val="21"/>
        </w:rPr>
        <w:t>光盘打卡活跃用户省级分布图</w:t>
      </w:r>
    </w:p>
    <w:p>
      <w:pPr>
        <w:snapToGrid w:val="0"/>
        <w:spacing w:line="360" w:lineRule="auto"/>
        <w:rPr>
          <w:rFonts w:ascii="仿宋" w:hAnsi="仿宋" w:eastAsia="仿宋"/>
          <w:sz w:val="24"/>
          <w:szCs w:val="24"/>
        </w:rPr>
      </w:pPr>
      <w:r>
        <w:rPr>
          <w:rFonts w:ascii="仿宋" w:hAnsi="仿宋" w:eastAsia="仿宋"/>
          <w:sz w:val="24"/>
          <w:szCs w:val="24"/>
        </w:rPr>
        <w:drawing>
          <wp:inline distT="0" distB="0" distL="0" distR="0">
            <wp:extent cx="5274310" cy="1762125"/>
            <wp:effectExtent l="19050" t="0" r="2540" b="0"/>
            <wp:docPr id="15" name="图片 14" descr="微信图片_20211221162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微信图片_20211221162554.png"/>
                    <pic:cNvPicPr>
                      <a:picLocks noChangeAspect="1"/>
                    </pic:cNvPicPr>
                  </pic:nvPicPr>
                  <pic:blipFill>
                    <a:blip r:embed="rId14" cstate="print"/>
                    <a:srcRect t="27862" b="1527"/>
                    <a:stretch>
                      <a:fillRect/>
                    </a:stretch>
                  </pic:blipFill>
                  <pic:spPr>
                    <a:xfrm>
                      <a:off x="0" y="0"/>
                      <a:ext cx="5274310" cy="1762125"/>
                    </a:xfrm>
                    <a:prstGeom prst="rect">
                      <a:avLst/>
                    </a:prstGeom>
                  </pic:spPr>
                </pic:pic>
              </a:graphicData>
            </a:graphic>
          </wp:inline>
        </w:drawing>
      </w:r>
    </w:p>
    <w:p>
      <w:pPr>
        <w:snapToGrid w:val="0"/>
        <w:spacing w:before="190" w:beforeLines="50" w:after="381" w:afterLines="100" w:line="360" w:lineRule="auto"/>
        <w:jc w:val="center"/>
        <w:rPr>
          <w:rFonts w:ascii="黑体" w:hAnsi="黑体" w:eastAsia="黑体"/>
          <w:sz w:val="21"/>
          <w:szCs w:val="21"/>
        </w:rPr>
      </w:pPr>
      <w:r>
        <w:rPr>
          <w:rFonts w:hint="eastAsia" w:ascii="黑体" w:hAnsi="黑体" w:eastAsia="黑体"/>
          <w:sz w:val="21"/>
          <w:szCs w:val="21"/>
        </w:rPr>
        <w:t>光盘打卡活跃用户年龄分布图</w:t>
      </w:r>
    </w:p>
    <w:p>
      <w:pPr>
        <w:snapToGrid w:val="0"/>
        <w:spacing w:line="360" w:lineRule="auto"/>
        <w:rPr>
          <w:rFonts w:ascii="仿宋" w:hAnsi="仿宋" w:eastAsia="仿宋"/>
          <w:sz w:val="24"/>
          <w:szCs w:val="24"/>
        </w:rPr>
      </w:pPr>
      <w:r>
        <w:rPr>
          <w:rFonts w:ascii="仿宋" w:hAnsi="仿宋" w:eastAsia="仿宋"/>
          <w:sz w:val="24"/>
          <w:szCs w:val="24"/>
        </w:rPr>
        <w:drawing>
          <wp:inline distT="0" distB="0" distL="0" distR="0">
            <wp:extent cx="5274310" cy="1819275"/>
            <wp:effectExtent l="19050" t="0" r="2540" b="0"/>
            <wp:docPr id="16" name="图片 15" descr="微信图片_20211221164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微信图片_20211221164751.png"/>
                    <pic:cNvPicPr>
                      <a:picLocks noChangeAspect="1"/>
                    </pic:cNvPicPr>
                  </pic:nvPicPr>
                  <pic:blipFill>
                    <a:blip r:embed="rId15" cstate="print"/>
                    <a:srcRect t="18362" r="1938" b="78"/>
                    <a:stretch>
                      <a:fillRect/>
                    </a:stretch>
                  </pic:blipFill>
                  <pic:spPr>
                    <a:xfrm>
                      <a:off x="0" y="0"/>
                      <a:ext cx="5274310" cy="1819275"/>
                    </a:xfrm>
                    <a:prstGeom prst="rect">
                      <a:avLst/>
                    </a:prstGeom>
                  </pic:spPr>
                </pic:pic>
              </a:graphicData>
            </a:graphic>
          </wp:inline>
        </w:drawing>
      </w:r>
    </w:p>
    <w:p>
      <w:pPr>
        <w:snapToGrid w:val="0"/>
        <w:spacing w:before="190" w:beforeLines="50" w:line="360" w:lineRule="auto"/>
        <w:jc w:val="center"/>
        <w:rPr>
          <w:rFonts w:ascii="黑体" w:hAnsi="黑体" w:eastAsia="黑体"/>
          <w:sz w:val="21"/>
          <w:szCs w:val="21"/>
        </w:rPr>
      </w:pPr>
      <w:r>
        <w:rPr>
          <w:rFonts w:hint="eastAsia" w:ascii="黑体" w:hAnsi="黑体" w:eastAsia="黑体"/>
          <w:sz w:val="21"/>
          <w:szCs w:val="21"/>
        </w:rPr>
        <w:t>光盘打卡活跃用户性别分布图</w:t>
      </w:r>
    </w:p>
    <w:p>
      <w:pPr>
        <w:pStyle w:val="16"/>
        <w:numPr>
          <w:ilvl w:val="0"/>
          <w:numId w:val="2"/>
        </w:numPr>
        <w:snapToGrid w:val="0"/>
        <w:spacing w:before="190" w:beforeLines="50" w:line="360" w:lineRule="auto"/>
        <w:ind w:firstLineChars="0"/>
        <w:rPr>
          <w:rFonts w:ascii="仿宋" w:hAnsi="仿宋" w:eastAsia="仿宋"/>
          <w:sz w:val="24"/>
          <w:szCs w:val="24"/>
        </w:rPr>
      </w:pPr>
      <w:r>
        <w:rPr>
          <w:rFonts w:hint="eastAsia" w:ascii="仿宋" w:hAnsi="仿宋" w:eastAsia="仿宋"/>
          <w:sz w:val="24"/>
          <w:szCs w:val="24"/>
        </w:rPr>
        <w:t>启动仪式</w:t>
      </w:r>
    </w:p>
    <w:p>
      <w:pPr>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t>2021年10月26日，光盘行动专项基金启动仪式在京召开，北京美灵公益基金会捐</w:t>
      </w:r>
      <w:r>
        <w:rPr>
          <w:rFonts w:hint="eastAsia" w:ascii="仿宋" w:hAnsi="仿宋" w:eastAsia="仿宋" w:cs="仿宋"/>
          <w:sz w:val="24"/>
          <w:szCs w:val="24"/>
        </w:rPr>
        <w:t>资100万元作为</w:t>
      </w:r>
      <w:r>
        <w:rPr>
          <w:rFonts w:ascii="仿宋" w:hAnsi="仿宋" w:eastAsia="仿宋" w:cs="仿宋"/>
          <w:sz w:val="24"/>
          <w:szCs w:val="24"/>
        </w:rPr>
        <w:t>专项基金</w:t>
      </w:r>
      <w:r>
        <w:rPr>
          <w:rFonts w:hint="eastAsia" w:ascii="仿宋" w:hAnsi="仿宋" w:eastAsia="仿宋" w:cs="仿宋"/>
          <w:sz w:val="24"/>
          <w:szCs w:val="24"/>
        </w:rPr>
        <w:t>启动资金</w:t>
      </w:r>
      <w:r>
        <w:rPr>
          <w:rFonts w:ascii="仿宋" w:hAnsi="仿宋" w:eastAsia="仿宋" w:cs="仿宋"/>
          <w:sz w:val="24"/>
          <w:szCs w:val="24"/>
        </w:rPr>
        <w:t>。中国光华科技基金会党委书记侯宝森，团中央社会联络部社会动员处处长潘颖婷，北京美灵公益基金会发起人、世纪长河集团董事长郭美玲及相关代表出席仪式并讲话。</w:t>
      </w:r>
    </w:p>
    <w:p>
      <w:pPr>
        <w:snapToGrid w:val="0"/>
        <w:spacing w:line="360" w:lineRule="auto"/>
        <w:ind w:firstLine="480" w:firstLineChars="200"/>
        <w:rPr>
          <w:rFonts w:ascii="仿宋" w:hAnsi="仿宋" w:eastAsia="仿宋" w:cs="仿宋"/>
          <w:sz w:val="24"/>
          <w:szCs w:val="24"/>
        </w:rPr>
      </w:pPr>
      <w:r>
        <w:rPr>
          <w:rFonts w:ascii="仿宋" w:hAnsi="仿宋" w:eastAsia="仿宋" w:cs="仿宋"/>
          <w:sz w:val="24"/>
          <w:szCs w:val="24"/>
        </w:rPr>
        <w:t>侯宝森表示，光华基金会旨在通过科技手段解决社会问题，光盘行动专项基金正是其生动体现。潘颖婷表示，光盘行动专项基金的启动预示着光盘行动即将走上新台阶，希望让节约光荣、浪费可耻的思想观念在全社会蔚然成风。</w:t>
      </w:r>
    </w:p>
    <w:p>
      <w:pPr>
        <w:snapToGrid w:val="0"/>
        <w:spacing w:after="285" w:afterLines="75" w:line="360" w:lineRule="auto"/>
        <w:ind w:firstLine="480" w:firstLineChars="200"/>
        <w:rPr>
          <w:rFonts w:ascii="仿宋" w:hAnsi="仿宋" w:eastAsia="仿宋" w:cs="仿宋"/>
          <w:sz w:val="24"/>
          <w:szCs w:val="24"/>
        </w:rPr>
      </w:pPr>
      <w:r>
        <w:rPr>
          <w:rFonts w:ascii="仿宋" w:hAnsi="仿宋" w:eastAsia="仿宋" w:cs="仿宋"/>
          <w:sz w:val="24"/>
          <w:szCs w:val="24"/>
        </w:rPr>
        <w:t>本次光盘行动专项基金</w:t>
      </w:r>
      <w:r>
        <w:rPr>
          <w:rFonts w:hint="eastAsia" w:ascii="仿宋" w:hAnsi="仿宋" w:eastAsia="仿宋" w:cs="仿宋"/>
          <w:sz w:val="24"/>
          <w:szCs w:val="24"/>
        </w:rPr>
        <w:t>启动仪式吸引了新华社、北京日报、人民政协网、公益时报、中国青年报等多家权威媒体的关注与报道，并发布于北京市人民政府网站、首都文明网等政府网站，形成广泛的社会影响力。</w:t>
      </w:r>
    </w:p>
    <w:p>
      <w:pPr>
        <w:snapToGrid w:val="0"/>
        <w:spacing w:line="360" w:lineRule="auto"/>
        <w:rPr>
          <w:rFonts w:ascii="仿宋" w:hAnsi="仿宋" w:eastAsia="仿宋" w:cs="仿宋"/>
          <w:sz w:val="24"/>
          <w:szCs w:val="24"/>
        </w:rPr>
      </w:pPr>
      <w:r>
        <w:rPr>
          <w:rFonts w:ascii="仿宋" w:hAnsi="仿宋" w:eastAsia="仿宋" w:cs="仿宋"/>
          <w:sz w:val="24"/>
          <w:szCs w:val="24"/>
        </w:rPr>
        <w:drawing>
          <wp:inline distT="0" distB="0" distL="0" distR="0">
            <wp:extent cx="5274310" cy="3487420"/>
            <wp:effectExtent l="19050" t="0" r="2540" b="0"/>
            <wp:docPr id="13" name="图片 2" descr="C:\Users\XUXU\AppData\Local\Temp\WeChat Files\bbfc94cdda186f28b678cb1d44a4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C:\Users\XUXU\AppData\Local\Temp\WeChat Files\bbfc94cdda186f28b678cb1d44a429b.png"/>
                    <pic:cNvPicPr>
                      <a:picLocks noChangeAspect="1" noChangeArrowheads="1"/>
                    </pic:cNvPicPr>
                  </pic:nvPicPr>
                  <pic:blipFill>
                    <a:blip r:embed="rId16" cstate="print"/>
                    <a:srcRect/>
                    <a:stretch>
                      <a:fillRect/>
                    </a:stretch>
                  </pic:blipFill>
                  <pic:spPr>
                    <a:xfrm>
                      <a:off x="0" y="0"/>
                      <a:ext cx="5274310" cy="3487530"/>
                    </a:xfrm>
                    <a:prstGeom prst="rect">
                      <a:avLst/>
                    </a:prstGeom>
                    <a:noFill/>
                    <a:ln w="9525">
                      <a:noFill/>
                      <a:miter lim="800000"/>
                      <a:headEnd/>
                      <a:tailEnd/>
                    </a:ln>
                  </pic:spPr>
                </pic:pic>
              </a:graphicData>
            </a:graphic>
          </wp:inline>
        </w:drawing>
      </w:r>
    </w:p>
    <w:p>
      <w:pPr>
        <w:snapToGrid w:val="0"/>
        <w:spacing w:line="360" w:lineRule="auto"/>
        <w:rPr>
          <w:rFonts w:ascii="仿宋" w:hAnsi="仿宋" w:eastAsia="仿宋" w:cs="仿宋"/>
          <w:sz w:val="24"/>
          <w:szCs w:val="24"/>
        </w:rPr>
      </w:pPr>
      <w:r>
        <w:rPr>
          <w:rFonts w:ascii="仿宋" w:hAnsi="仿宋" w:eastAsia="仿宋" w:cs="仿宋"/>
          <w:sz w:val="24"/>
          <w:szCs w:val="24"/>
        </w:rPr>
        <w:drawing>
          <wp:anchor distT="0" distB="0" distL="114300" distR="114300" simplePos="0" relativeHeight="251664384" behindDoc="0" locked="0" layoutInCell="1" allowOverlap="1">
            <wp:simplePos x="0" y="0"/>
            <wp:positionH relativeFrom="column">
              <wp:posOffset>2705100</wp:posOffset>
            </wp:positionH>
            <wp:positionV relativeFrom="paragraph">
              <wp:posOffset>-1905</wp:posOffset>
            </wp:positionV>
            <wp:extent cx="2590800" cy="1666875"/>
            <wp:effectExtent l="19050" t="0" r="0" b="0"/>
            <wp:wrapNone/>
            <wp:docPr id="22" name="图片 4" descr="C:\Users\XUXU\AppData\Local\Temp\WeChat Files\33310ab213418d471bfd9502fba50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XUXU\AppData\Local\Temp\WeChat Files\33310ab213418d471bfd9502fba50bf.png"/>
                    <pic:cNvPicPr>
                      <a:picLocks noChangeAspect="1" noChangeArrowheads="1"/>
                    </pic:cNvPicPr>
                  </pic:nvPicPr>
                  <pic:blipFill>
                    <a:blip r:embed="rId17" cstate="print"/>
                    <a:srcRect t="2747" b="1099"/>
                    <a:stretch>
                      <a:fillRect/>
                    </a:stretch>
                  </pic:blipFill>
                  <pic:spPr>
                    <a:xfrm>
                      <a:off x="0" y="0"/>
                      <a:ext cx="2590800" cy="1666875"/>
                    </a:xfrm>
                    <a:prstGeom prst="rect">
                      <a:avLst/>
                    </a:prstGeom>
                    <a:noFill/>
                    <a:ln w="9525">
                      <a:noFill/>
                      <a:miter lim="800000"/>
                      <a:headEnd/>
                      <a:tailEnd/>
                    </a:ln>
                  </pic:spPr>
                </pic:pic>
              </a:graphicData>
            </a:graphic>
          </wp:anchor>
        </w:drawing>
      </w:r>
      <w:r>
        <w:rPr>
          <w:rFonts w:ascii="仿宋" w:hAnsi="仿宋" w:eastAsia="仿宋" w:cs="仿宋"/>
          <w:sz w:val="24"/>
          <w:szCs w:val="24"/>
        </w:rPr>
        <w:drawing>
          <wp:inline distT="0" distB="0" distL="0" distR="0">
            <wp:extent cx="2590800" cy="1666875"/>
            <wp:effectExtent l="1905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noChangeArrowheads="1"/>
                    </pic:cNvPicPr>
                  </pic:nvPicPr>
                  <pic:blipFill>
                    <a:blip r:embed="rId18" cstate="print"/>
                    <a:srcRect t="3315"/>
                    <a:stretch>
                      <a:fillRect/>
                    </a:stretch>
                  </pic:blipFill>
                  <pic:spPr>
                    <a:xfrm>
                      <a:off x="0" y="0"/>
                      <a:ext cx="2590800" cy="1666875"/>
                    </a:xfrm>
                    <a:prstGeom prst="rect">
                      <a:avLst/>
                    </a:prstGeom>
                    <a:noFill/>
                    <a:ln w="9525">
                      <a:noFill/>
                      <a:miter lim="800000"/>
                      <a:headEnd/>
                      <a:tailEnd/>
                    </a:ln>
                  </pic:spPr>
                </pic:pic>
              </a:graphicData>
            </a:graphic>
          </wp:inline>
        </w:drawing>
      </w:r>
    </w:p>
    <w:p>
      <w:pPr>
        <w:pStyle w:val="16"/>
        <w:numPr>
          <w:ilvl w:val="0"/>
          <w:numId w:val="2"/>
        </w:numPr>
        <w:snapToGrid w:val="0"/>
        <w:spacing w:before="190" w:beforeLines="50" w:line="360" w:lineRule="auto"/>
        <w:ind w:firstLineChars="0"/>
        <w:rPr>
          <w:rFonts w:ascii="仿宋" w:hAnsi="仿宋" w:eastAsia="仿宋"/>
          <w:sz w:val="24"/>
          <w:szCs w:val="24"/>
        </w:rPr>
      </w:pPr>
      <w:r>
        <w:rPr>
          <w:rFonts w:hint="eastAsia" w:ascii="仿宋" w:hAnsi="仿宋" w:eastAsia="仿宋"/>
          <w:sz w:val="24"/>
          <w:szCs w:val="24"/>
        </w:rPr>
        <w:t>公益教育</w:t>
      </w:r>
    </w:p>
    <w:p>
      <w:pPr>
        <w:snapToGrid w:val="0"/>
        <w:spacing w:line="360" w:lineRule="auto"/>
        <w:ind w:firstLine="480" w:firstLineChars="200"/>
        <w:rPr>
          <w:rFonts w:ascii="仿宋" w:hAnsi="仿宋" w:eastAsia="仿宋"/>
          <w:sz w:val="24"/>
          <w:szCs w:val="24"/>
        </w:rPr>
      </w:pPr>
      <w:r>
        <w:rPr>
          <w:rFonts w:hint="eastAsia" w:ascii="仿宋" w:hAnsi="仿宋" w:eastAsia="仿宋" w:cs="仿宋"/>
          <w:sz w:val="24"/>
          <w:szCs w:val="24"/>
        </w:rPr>
        <w:t>光盘行动专项基金始终坚持以</w:t>
      </w:r>
      <w:r>
        <w:rPr>
          <w:rFonts w:hint="eastAsia" w:ascii="仿宋" w:hAnsi="仿宋" w:eastAsia="仿宋"/>
          <w:sz w:val="24"/>
          <w:szCs w:val="24"/>
        </w:rPr>
        <w:t>青少年生态文明素养教育为重。作为共青团中央“美丽中国</w:t>
      </w:r>
      <w:r>
        <w:rPr>
          <w:rFonts w:ascii="仿宋" w:hAnsi="仿宋" w:eastAsia="仿宋"/>
          <w:sz w:val="24"/>
          <w:szCs w:val="24"/>
        </w:rPr>
        <w:t>·</w:t>
      </w:r>
      <w:r>
        <w:rPr>
          <w:rFonts w:hint="eastAsia" w:ascii="仿宋" w:hAnsi="仿宋" w:eastAsia="仿宋" w:cs="仿宋"/>
          <w:sz w:val="24"/>
          <w:szCs w:val="24"/>
        </w:rPr>
        <w:t>青春行动”合作伙伴，</w:t>
      </w:r>
      <w:r>
        <w:rPr>
          <w:rFonts w:hint="eastAsia" w:ascii="仿宋" w:hAnsi="仿宋" w:eastAsia="仿宋"/>
          <w:sz w:val="24"/>
          <w:szCs w:val="24"/>
        </w:rPr>
        <w:t>光盘打卡已</w:t>
      </w:r>
      <w:r>
        <w:rPr>
          <w:rFonts w:ascii="仿宋" w:hAnsi="仿宋" w:eastAsia="仿宋"/>
          <w:sz w:val="24"/>
          <w:szCs w:val="24"/>
        </w:rPr>
        <w:t>覆盖</w:t>
      </w:r>
      <w:r>
        <w:rPr>
          <w:rFonts w:hint="eastAsia" w:ascii="仿宋" w:hAnsi="仿宋" w:eastAsia="仿宋"/>
          <w:sz w:val="24"/>
          <w:szCs w:val="24"/>
        </w:rPr>
        <w:t>清华大学、暨南大学、贵州大学等</w:t>
      </w:r>
      <w:r>
        <w:rPr>
          <w:rFonts w:ascii="仿宋" w:hAnsi="仿宋" w:eastAsia="仿宋"/>
          <w:sz w:val="24"/>
          <w:szCs w:val="24"/>
        </w:rPr>
        <w:t>上千所高校，</w:t>
      </w:r>
      <w:r>
        <w:rPr>
          <w:rFonts w:hint="eastAsia" w:ascii="仿宋" w:hAnsi="仿宋" w:eastAsia="仿宋" w:cs="仿宋"/>
          <w:sz w:val="24"/>
          <w:szCs w:val="24"/>
        </w:rPr>
        <w:t>未来将持续影响数千万大学生，成为生态文明宣传教育的重要平台</w:t>
      </w:r>
      <w:r>
        <w:rPr>
          <w:rFonts w:hint="eastAsia" w:ascii="仿宋" w:hAnsi="仿宋" w:eastAsia="仿宋"/>
          <w:sz w:val="24"/>
          <w:szCs w:val="24"/>
        </w:rPr>
        <w:t>。</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2021年11月，</w:t>
      </w:r>
      <w:r>
        <w:rPr>
          <w:rFonts w:hint="eastAsia" w:ascii="仿宋" w:hAnsi="仿宋" w:eastAsia="仿宋" w:cs="仿宋"/>
          <w:sz w:val="24"/>
          <w:szCs w:val="24"/>
        </w:rPr>
        <w:t>在</w:t>
      </w:r>
      <w:r>
        <w:rPr>
          <w:rFonts w:ascii="仿宋" w:hAnsi="仿宋" w:eastAsia="仿宋" w:cs="仿宋"/>
          <w:sz w:val="24"/>
          <w:szCs w:val="24"/>
        </w:rPr>
        <w:t>北京美灵公益基金会的支持下，</w:t>
      </w:r>
      <w:r>
        <w:rPr>
          <w:rFonts w:hint="eastAsia" w:ascii="仿宋" w:hAnsi="仿宋" w:eastAsia="仿宋" w:cs="仿宋"/>
          <w:sz w:val="24"/>
          <w:szCs w:val="24"/>
        </w:rPr>
        <w:t>光盘行动专项基金和万科公益基金会联合发起</w:t>
      </w:r>
      <w:r>
        <w:rPr>
          <w:rFonts w:hint="eastAsia" w:ascii="仿宋" w:hAnsi="仿宋" w:eastAsia="仿宋"/>
          <w:sz w:val="24"/>
          <w:szCs w:val="24"/>
        </w:rPr>
        <w:t>第四届百城千校光盘&amp;自带餐具挑战活动，号召广大高校学生投身光盘行动、践行零废弃生活方式。活动以光盘打卡为载体在全国高校同步启动，根据最终成绩进行高校排行和个人排行并予奖励。</w:t>
      </w:r>
      <w:r>
        <w:rPr>
          <w:rFonts w:ascii="仿宋" w:hAnsi="仿宋" w:eastAsia="仿宋"/>
          <w:sz w:val="24"/>
          <w:szCs w:val="24"/>
        </w:rPr>
        <w:t>近</w:t>
      </w:r>
      <w:r>
        <w:rPr>
          <w:rFonts w:hint="eastAsia" w:ascii="仿宋" w:hAnsi="仿宋" w:eastAsia="仿宋"/>
          <w:sz w:val="24"/>
          <w:szCs w:val="24"/>
        </w:rPr>
        <w:t>700所高校参与本次活动的组织动员，有效参与人次</w:t>
      </w:r>
      <w:r>
        <w:rPr>
          <w:rFonts w:ascii="仿宋" w:hAnsi="仿宋" w:eastAsia="仿宋"/>
          <w:sz w:val="24"/>
          <w:szCs w:val="24"/>
        </w:rPr>
        <w:t>近</w:t>
      </w:r>
      <w:r>
        <w:rPr>
          <w:rFonts w:hint="eastAsia" w:ascii="仿宋" w:hAnsi="仿宋" w:eastAsia="仿宋"/>
          <w:sz w:val="24"/>
          <w:szCs w:val="24"/>
        </w:rPr>
        <w:t>60万，累计贡献光盘</w:t>
      </w:r>
      <w:r>
        <w:rPr>
          <w:rFonts w:ascii="仿宋" w:hAnsi="仿宋" w:eastAsia="仿宋"/>
          <w:sz w:val="24"/>
          <w:szCs w:val="24"/>
        </w:rPr>
        <w:t>1040余</w:t>
      </w:r>
      <w:r>
        <w:rPr>
          <w:rFonts w:hint="eastAsia" w:ascii="仿宋" w:hAnsi="仿宋" w:eastAsia="仿宋"/>
          <w:sz w:val="24"/>
          <w:szCs w:val="24"/>
        </w:rPr>
        <w:t>万次。</w:t>
      </w:r>
    </w:p>
    <w:p>
      <w:pPr>
        <w:snapToGrid w:val="0"/>
        <w:spacing w:after="190" w:afterLines="50" w:line="360" w:lineRule="auto"/>
        <w:ind w:firstLine="480" w:firstLineChars="200"/>
        <w:rPr>
          <w:rFonts w:ascii="仿宋" w:hAnsi="仿宋" w:eastAsia="仿宋"/>
          <w:sz w:val="24"/>
          <w:szCs w:val="24"/>
        </w:rPr>
      </w:pPr>
      <w:r>
        <w:rPr>
          <w:rFonts w:hint="eastAsia" w:ascii="仿宋" w:hAnsi="仿宋" w:eastAsia="仿宋"/>
          <w:sz w:val="24"/>
          <w:szCs w:val="24"/>
        </w:rPr>
        <w:t>通过本次活动，大批高校学生将零废弃理念转化为实际行动，并形成了良好的辐射带动作用。根据活动后的调查，超过90%的高校学生表示愿意在活动结束后将光盘行动进行到底。</w:t>
      </w:r>
    </w:p>
    <w:p>
      <w:pPr>
        <w:snapToGrid w:val="0"/>
        <w:spacing w:line="360" w:lineRule="auto"/>
        <w:jc w:val="left"/>
        <w:rPr>
          <w:rFonts w:ascii="仿宋" w:hAnsi="仿宋" w:eastAsia="仿宋"/>
          <w:sz w:val="24"/>
          <w:szCs w:val="24"/>
        </w:rPr>
      </w:pPr>
      <w:r>
        <w:rPr>
          <w:rFonts w:ascii="仿宋" w:hAnsi="仿宋" w:eastAsia="仿宋"/>
          <w:sz w:val="24"/>
          <w:szCs w:val="24"/>
        </w:rPr>
        <w:drawing>
          <wp:anchor distT="0" distB="0" distL="114300" distR="114300" simplePos="0" relativeHeight="251666432" behindDoc="0" locked="0" layoutInCell="1" allowOverlap="1">
            <wp:simplePos x="0" y="0"/>
            <wp:positionH relativeFrom="column">
              <wp:posOffset>3019425</wp:posOffset>
            </wp:positionH>
            <wp:positionV relativeFrom="paragraph">
              <wp:posOffset>2388235</wp:posOffset>
            </wp:positionV>
            <wp:extent cx="2238375" cy="2324100"/>
            <wp:effectExtent l="19050" t="0" r="9525" b="0"/>
            <wp:wrapNone/>
            <wp:docPr id="37" name="图片 36" descr="6.3-项目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descr="6.3-项目现场.jpg"/>
                    <pic:cNvPicPr>
                      <a:picLocks noChangeAspect="1"/>
                    </pic:cNvPicPr>
                  </pic:nvPicPr>
                  <pic:blipFill>
                    <a:blip r:embed="rId19" cstate="print"/>
                    <a:srcRect l="22727" r="12757"/>
                    <a:stretch>
                      <a:fillRect/>
                    </a:stretch>
                  </pic:blipFill>
                  <pic:spPr>
                    <a:xfrm>
                      <a:off x="0" y="0"/>
                      <a:ext cx="2238375" cy="2324100"/>
                    </a:xfrm>
                    <a:prstGeom prst="rect">
                      <a:avLst/>
                    </a:prstGeom>
                  </pic:spPr>
                </pic:pic>
              </a:graphicData>
            </a:graphic>
          </wp:anchor>
        </w:drawing>
      </w:r>
      <w:r>
        <w:rPr>
          <w:rFonts w:ascii="仿宋" w:hAnsi="仿宋" w:eastAsia="仿宋"/>
          <w:sz w:val="24"/>
          <w:szCs w:val="24"/>
        </w:rPr>
        <w:drawing>
          <wp:anchor distT="0" distB="0" distL="114300" distR="114300" simplePos="0" relativeHeight="251665408" behindDoc="0" locked="0" layoutInCell="1" allowOverlap="1">
            <wp:simplePos x="0" y="0"/>
            <wp:positionH relativeFrom="column">
              <wp:posOffset>3019425</wp:posOffset>
            </wp:positionH>
            <wp:positionV relativeFrom="paragraph">
              <wp:posOffset>-2540</wp:posOffset>
            </wp:positionV>
            <wp:extent cx="2238375" cy="2324100"/>
            <wp:effectExtent l="19050" t="0" r="9525" b="0"/>
            <wp:wrapNone/>
            <wp:docPr id="38" name="图片 37" descr="6.7-项目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descr="6.7-项目现场.jpg"/>
                    <pic:cNvPicPr>
                      <a:picLocks noChangeAspect="1"/>
                    </pic:cNvPicPr>
                  </pic:nvPicPr>
                  <pic:blipFill>
                    <a:blip r:embed="rId20" cstate="print"/>
                    <a:srcRect r="35645"/>
                    <a:stretch>
                      <a:fillRect/>
                    </a:stretch>
                  </pic:blipFill>
                  <pic:spPr>
                    <a:xfrm>
                      <a:off x="0" y="0"/>
                      <a:ext cx="2238375" cy="2324100"/>
                    </a:xfrm>
                    <a:prstGeom prst="rect">
                      <a:avLst/>
                    </a:prstGeom>
                  </pic:spPr>
                </pic:pic>
              </a:graphicData>
            </a:graphic>
          </wp:anchor>
        </w:drawing>
      </w:r>
      <w:r>
        <w:rPr>
          <w:rFonts w:ascii="仿宋" w:hAnsi="仿宋" w:eastAsia="仿宋"/>
          <w:sz w:val="24"/>
          <w:szCs w:val="24"/>
        </w:rPr>
        <w:drawing>
          <wp:inline distT="0" distB="0" distL="0" distR="0">
            <wp:extent cx="2901315" cy="4715510"/>
            <wp:effectExtent l="19050" t="0" r="0" b="0"/>
            <wp:docPr id="23" name="图片 22" descr="cd7a6ca9fc9b424d9e3061668a0800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cd7a6ca9fc9b424d9e3061668a0800f6.jpg"/>
                    <pic:cNvPicPr>
                      <a:picLocks noChangeAspect="1"/>
                    </pic:cNvPicPr>
                  </pic:nvPicPr>
                  <pic:blipFill>
                    <a:blip r:embed="rId21" cstate="print"/>
                    <a:stretch>
                      <a:fillRect/>
                    </a:stretch>
                  </pic:blipFill>
                  <pic:spPr>
                    <a:xfrm>
                      <a:off x="0" y="0"/>
                      <a:ext cx="2901427" cy="4716000"/>
                    </a:xfrm>
                    <a:prstGeom prst="rect">
                      <a:avLst/>
                    </a:prstGeom>
                  </pic:spPr>
                </pic:pic>
              </a:graphicData>
            </a:graphic>
          </wp:inline>
        </w:drawing>
      </w:r>
    </w:p>
    <w:p>
      <w:pPr>
        <w:pStyle w:val="16"/>
        <w:numPr>
          <w:ilvl w:val="0"/>
          <w:numId w:val="2"/>
        </w:numPr>
        <w:snapToGrid w:val="0"/>
        <w:spacing w:before="190" w:beforeLines="50" w:line="360" w:lineRule="auto"/>
        <w:ind w:firstLineChars="0"/>
        <w:rPr>
          <w:rFonts w:ascii="仿宋" w:hAnsi="仿宋" w:eastAsia="仿宋"/>
          <w:sz w:val="24"/>
          <w:szCs w:val="24"/>
        </w:rPr>
      </w:pPr>
      <w:r>
        <w:rPr>
          <w:rFonts w:hint="eastAsia" w:ascii="仿宋" w:hAnsi="仿宋" w:eastAsia="仿宋"/>
          <w:sz w:val="24"/>
          <w:szCs w:val="24"/>
        </w:rPr>
        <w:t>公益配捐</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drawing>
          <wp:anchor distT="0" distB="0" distL="114300" distR="114300" simplePos="0" relativeHeight="251660288" behindDoc="0" locked="0" layoutInCell="1" allowOverlap="1">
            <wp:simplePos x="0" y="0"/>
            <wp:positionH relativeFrom="column">
              <wp:posOffset>20955</wp:posOffset>
            </wp:positionH>
            <wp:positionV relativeFrom="paragraph">
              <wp:posOffset>837565</wp:posOffset>
            </wp:positionV>
            <wp:extent cx="2524125" cy="4200525"/>
            <wp:effectExtent l="19050" t="0" r="9525" b="0"/>
            <wp:wrapNone/>
            <wp:docPr id="9" name="图片 8" descr="微信图片_2021011817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微信图片_20210118170320.jpg"/>
                    <pic:cNvPicPr>
                      <a:picLocks noChangeAspect="1"/>
                    </pic:cNvPicPr>
                  </pic:nvPicPr>
                  <pic:blipFill>
                    <a:blip r:embed="rId22" cstate="print"/>
                    <a:stretch>
                      <a:fillRect/>
                    </a:stretch>
                  </pic:blipFill>
                  <pic:spPr>
                    <a:xfrm>
                      <a:off x="0" y="0"/>
                      <a:ext cx="2524125" cy="4200525"/>
                    </a:xfrm>
                    <a:prstGeom prst="rect">
                      <a:avLst/>
                    </a:prstGeom>
                  </pic:spPr>
                </pic:pic>
              </a:graphicData>
            </a:graphic>
          </wp:anchor>
        </w:drawing>
      </w:r>
      <w:r>
        <w:rPr>
          <w:rFonts w:hint="eastAsia" w:ascii="仿宋" w:hAnsi="仿宋" w:eastAsia="仿宋"/>
          <w:sz w:val="24"/>
          <w:szCs w:val="24"/>
        </w:rPr>
        <w:drawing>
          <wp:anchor distT="0" distB="0" distL="114300" distR="114300" simplePos="0" relativeHeight="251661312" behindDoc="0" locked="0" layoutInCell="1" allowOverlap="1">
            <wp:simplePos x="0" y="0"/>
            <wp:positionH relativeFrom="column">
              <wp:posOffset>2830830</wp:posOffset>
            </wp:positionH>
            <wp:positionV relativeFrom="paragraph">
              <wp:posOffset>837565</wp:posOffset>
            </wp:positionV>
            <wp:extent cx="2524125" cy="4200525"/>
            <wp:effectExtent l="19050" t="0" r="9525" b="0"/>
            <wp:wrapNone/>
            <wp:docPr id="10" name="图片 9" descr="微信图片_2021011817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微信图片_20210118170329.jpg"/>
                    <pic:cNvPicPr>
                      <a:picLocks noChangeAspect="1"/>
                    </pic:cNvPicPr>
                  </pic:nvPicPr>
                  <pic:blipFill>
                    <a:blip r:embed="rId23" cstate="print"/>
                    <a:stretch>
                      <a:fillRect/>
                    </a:stretch>
                  </pic:blipFill>
                  <pic:spPr>
                    <a:xfrm>
                      <a:off x="0" y="0"/>
                      <a:ext cx="2524125" cy="4200525"/>
                    </a:xfrm>
                    <a:prstGeom prst="rect">
                      <a:avLst/>
                    </a:prstGeom>
                  </pic:spPr>
                </pic:pic>
              </a:graphicData>
            </a:graphic>
          </wp:anchor>
        </w:drawing>
      </w:r>
      <w:r>
        <w:rPr>
          <w:rFonts w:hint="eastAsia" w:ascii="仿宋" w:hAnsi="仿宋" w:eastAsia="仿宋"/>
          <w:sz w:val="24"/>
          <w:szCs w:val="24"/>
        </w:rPr>
        <w:t>通过光盘打卡合作企业的公益配捐，本项目已为“雨花敬老公益餐厅”、“埃塞慈善爱心早午餐”、“为3-5岁儿童送营养”、“免费午餐 小善大爱”、“心愿100助学”、“希望厨房”等慈善项目筹集善款近百万元。</w:t>
      </w:r>
    </w:p>
    <w:p>
      <w:pPr>
        <w:snapToGrid w:val="0"/>
        <w:spacing w:line="360" w:lineRule="auto"/>
        <w:rPr>
          <w:rFonts w:ascii="仿宋" w:hAnsi="仿宋" w:eastAsia="仿宋"/>
          <w:sz w:val="24"/>
          <w:szCs w:val="24"/>
        </w:rPr>
      </w:pPr>
    </w:p>
    <w:p>
      <w:pPr>
        <w:widowControl/>
        <w:jc w:val="left"/>
        <w:rPr>
          <w:rFonts w:ascii="华文中宋" w:hAnsi="华文中宋" w:eastAsia="华文中宋"/>
          <w:sz w:val="24"/>
          <w:szCs w:val="24"/>
        </w:rPr>
      </w:pPr>
      <w:r>
        <w:rPr>
          <w:rFonts w:ascii="华文中宋" w:hAnsi="华文中宋" w:eastAsia="华文中宋"/>
          <w:sz w:val="24"/>
          <w:szCs w:val="24"/>
        </w:rPr>
        <w:drawing>
          <wp:anchor distT="0" distB="0" distL="114300" distR="114300" simplePos="0" relativeHeight="251662336" behindDoc="0" locked="0" layoutInCell="1" allowOverlap="1">
            <wp:simplePos x="0" y="0"/>
            <wp:positionH relativeFrom="column">
              <wp:posOffset>19050</wp:posOffset>
            </wp:positionH>
            <wp:positionV relativeFrom="paragraph">
              <wp:posOffset>3133725</wp:posOffset>
            </wp:positionV>
            <wp:extent cx="2524125" cy="4200525"/>
            <wp:effectExtent l="19050" t="0" r="9525" b="0"/>
            <wp:wrapNone/>
            <wp:docPr id="4" name="图片 10" descr="微信图片_2021011817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微信图片_20210118170344.jpg"/>
                    <pic:cNvPicPr>
                      <a:picLocks noChangeAspect="1"/>
                    </pic:cNvPicPr>
                  </pic:nvPicPr>
                  <pic:blipFill>
                    <a:blip r:embed="rId24" cstate="print"/>
                    <a:stretch>
                      <a:fillRect/>
                    </a:stretch>
                  </pic:blipFill>
                  <pic:spPr>
                    <a:xfrm>
                      <a:off x="0" y="0"/>
                      <a:ext cx="2524125" cy="4200525"/>
                    </a:xfrm>
                    <a:prstGeom prst="rect">
                      <a:avLst/>
                    </a:prstGeom>
                  </pic:spPr>
                </pic:pic>
              </a:graphicData>
            </a:graphic>
          </wp:anchor>
        </w:drawing>
      </w:r>
      <w:r>
        <w:rPr>
          <w:rFonts w:ascii="华文中宋" w:hAnsi="华文中宋" w:eastAsia="华文中宋"/>
          <w:sz w:val="24"/>
          <w:szCs w:val="24"/>
        </w:rPr>
        <w:drawing>
          <wp:anchor distT="0" distB="0" distL="114300" distR="114300" simplePos="0" relativeHeight="251663360" behindDoc="0" locked="0" layoutInCell="1" allowOverlap="1">
            <wp:simplePos x="0" y="0"/>
            <wp:positionH relativeFrom="column">
              <wp:posOffset>2828925</wp:posOffset>
            </wp:positionH>
            <wp:positionV relativeFrom="paragraph">
              <wp:posOffset>3133725</wp:posOffset>
            </wp:positionV>
            <wp:extent cx="2524125" cy="4200525"/>
            <wp:effectExtent l="19050" t="0" r="9525" b="0"/>
            <wp:wrapNone/>
            <wp:docPr id="1" name="图片 11" descr="微信图片_2021011817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微信图片_20210118170324.jpg"/>
                    <pic:cNvPicPr>
                      <a:picLocks noChangeAspect="1"/>
                    </pic:cNvPicPr>
                  </pic:nvPicPr>
                  <pic:blipFill>
                    <a:blip r:embed="rId25" cstate="print"/>
                    <a:stretch>
                      <a:fillRect/>
                    </a:stretch>
                  </pic:blipFill>
                  <pic:spPr>
                    <a:xfrm>
                      <a:off x="0" y="0"/>
                      <a:ext cx="2524125" cy="4200525"/>
                    </a:xfrm>
                    <a:prstGeom prst="rect">
                      <a:avLst/>
                    </a:prstGeom>
                  </pic:spPr>
                </pic:pic>
              </a:graphicData>
            </a:graphic>
          </wp:anchor>
        </w:drawing>
      </w:r>
      <w:r>
        <w:rPr>
          <w:rFonts w:ascii="华文中宋" w:hAnsi="华文中宋" w:eastAsia="华文中宋"/>
          <w:sz w:val="24"/>
          <w:szCs w:val="24"/>
        </w:rPr>
        <w:br w:type="page"/>
      </w:r>
    </w:p>
    <w:p>
      <w:pPr>
        <w:pStyle w:val="16"/>
        <w:numPr>
          <w:ilvl w:val="0"/>
          <w:numId w:val="2"/>
        </w:numPr>
        <w:snapToGrid w:val="0"/>
        <w:spacing w:before="190" w:beforeLines="50" w:line="360" w:lineRule="auto"/>
        <w:ind w:firstLineChars="0"/>
        <w:rPr>
          <w:rFonts w:ascii="仿宋" w:hAnsi="仿宋" w:eastAsia="仿宋"/>
          <w:sz w:val="24"/>
          <w:szCs w:val="24"/>
        </w:rPr>
      </w:pPr>
      <w:r>
        <w:rPr>
          <w:rFonts w:hint="eastAsia" w:ascii="仿宋" w:hAnsi="仿宋" w:eastAsia="仿宋"/>
          <w:sz w:val="24"/>
          <w:szCs w:val="24"/>
        </w:rPr>
        <w:t>亮点活动</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2021年4月，《中华人民共和国反食品浪费法》经十三届全国人大常委会第二十八次会议通过并施行。光盘行动专项基金启动“千城万店零浪费计划”，动员餐厅上架光盘福利，鼓励消费者践行光盘行动，先后与近 200 家餐厅达成合作。</w:t>
      </w:r>
    </w:p>
    <w:p>
      <w:pPr>
        <w:snapToGrid w:val="0"/>
        <w:spacing w:before="190" w:beforeLines="50" w:after="190" w:afterLines="50" w:line="360" w:lineRule="auto"/>
        <w:rPr>
          <w:rFonts w:ascii="仿宋" w:hAnsi="仿宋" w:eastAsia="仿宋"/>
          <w:sz w:val="24"/>
          <w:szCs w:val="24"/>
        </w:rPr>
      </w:pPr>
      <w:r>
        <w:rPr>
          <w:rFonts w:hint="eastAsia" w:ascii="仿宋" w:hAnsi="仿宋" w:eastAsia="仿宋"/>
          <w:sz w:val="24"/>
          <w:szCs w:val="24"/>
        </w:rPr>
        <w:drawing>
          <wp:anchor distT="0" distB="0" distL="114300" distR="114300" simplePos="0" relativeHeight="251667456" behindDoc="0" locked="0" layoutInCell="1" allowOverlap="1">
            <wp:simplePos x="0" y="0"/>
            <wp:positionH relativeFrom="column">
              <wp:posOffset>2524125</wp:posOffset>
            </wp:positionH>
            <wp:positionV relativeFrom="paragraph">
              <wp:posOffset>118745</wp:posOffset>
            </wp:positionV>
            <wp:extent cx="2741930" cy="2409825"/>
            <wp:effectExtent l="19050" t="0" r="1270" b="0"/>
            <wp:wrapNone/>
            <wp:docPr id="30" name="图片 29" descr="微信图片_2022010617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微信图片_20220106173943.jpg"/>
                    <pic:cNvPicPr>
                      <a:picLocks noChangeAspect="1"/>
                    </pic:cNvPicPr>
                  </pic:nvPicPr>
                  <pic:blipFill>
                    <a:blip r:embed="rId26" cstate="print"/>
                    <a:srcRect t="4528"/>
                    <a:stretch>
                      <a:fillRect/>
                    </a:stretch>
                  </pic:blipFill>
                  <pic:spPr>
                    <a:xfrm>
                      <a:off x="0" y="0"/>
                      <a:ext cx="2741930" cy="2409825"/>
                    </a:xfrm>
                    <a:prstGeom prst="rect">
                      <a:avLst/>
                    </a:prstGeom>
                  </pic:spPr>
                </pic:pic>
              </a:graphicData>
            </a:graphic>
          </wp:anchor>
        </w:drawing>
      </w:r>
      <w:r>
        <w:rPr>
          <w:rFonts w:ascii="仿宋" w:hAnsi="仿宋" w:eastAsia="仿宋"/>
          <w:sz w:val="24"/>
          <w:szCs w:val="24"/>
        </w:rPr>
        <w:drawing>
          <wp:inline distT="0" distB="0" distL="0" distR="0">
            <wp:extent cx="2419350" cy="2409825"/>
            <wp:effectExtent l="19050" t="0" r="0" b="0"/>
            <wp:docPr id="32" name="图片 5" descr="C:\Users\XUXU\AppData\Local\Temp\WeChat Files\8e98807c838a9e843d674828da4e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descr="C:\Users\XUXU\AppData\Local\Temp\WeChat Files\8e98807c838a9e843d674828da4ec95.jpg"/>
                    <pic:cNvPicPr>
                      <a:picLocks noChangeAspect="1" noChangeArrowheads="1"/>
                    </pic:cNvPicPr>
                  </pic:nvPicPr>
                  <pic:blipFill>
                    <a:blip r:embed="rId27" cstate="print"/>
                    <a:srcRect/>
                    <a:stretch>
                      <a:fillRect/>
                    </a:stretch>
                  </pic:blipFill>
                  <pic:spPr>
                    <a:xfrm>
                      <a:off x="0" y="0"/>
                      <a:ext cx="2419350" cy="2409825"/>
                    </a:xfrm>
                    <a:prstGeom prst="rect">
                      <a:avLst/>
                    </a:prstGeom>
                    <a:noFill/>
                    <a:ln w="9525">
                      <a:noFill/>
                      <a:miter lim="800000"/>
                      <a:headEnd/>
                      <a:tailEnd/>
                    </a:ln>
                  </pic:spPr>
                </pic:pic>
              </a:graphicData>
            </a:graphic>
          </wp:inline>
        </w:drawing>
      </w:r>
    </w:p>
    <w:p>
      <w:pPr>
        <w:snapToGrid w:val="0"/>
        <w:spacing w:after="190" w:afterLines="50" w:line="360" w:lineRule="auto"/>
        <w:ind w:firstLine="480" w:firstLineChars="200"/>
        <w:rPr>
          <w:rFonts w:ascii="仿宋" w:hAnsi="仿宋" w:eastAsia="仿宋"/>
          <w:sz w:val="24"/>
          <w:szCs w:val="24"/>
        </w:rPr>
      </w:pPr>
      <w:r>
        <w:rPr>
          <w:rFonts w:hint="eastAsia" w:ascii="仿宋" w:hAnsi="仿宋" w:eastAsia="仿宋"/>
          <w:sz w:val="24"/>
          <w:szCs w:val="24"/>
        </w:rPr>
        <w:t>2021年4月，光盘打卡与南京市商务局、阿里巴巴本地生活合作，在“第14届中国南京美食节</w:t>
      </w:r>
      <w:r>
        <w:rPr>
          <w:rFonts w:ascii="仿宋" w:hAnsi="仿宋" w:eastAsia="仿宋"/>
          <w:sz w:val="24"/>
          <w:szCs w:val="24"/>
        </w:rPr>
        <w:t>”</w:t>
      </w:r>
      <w:r>
        <w:rPr>
          <w:rFonts w:hint="eastAsia" w:ascii="仿宋" w:hAnsi="仿宋" w:eastAsia="仿宋"/>
          <w:sz w:val="24"/>
          <w:szCs w:val="24"/>
        </w:rPr>
        <w:t>推出光盘打卡行动，南京诸多餐饮机构布设了光盘行动宣传物料，在提高美食节活动热度的同时倡导文明餐桌新风尚。</w:t>
      </w:r>
    </w:p>
    <w:p>
      <w:pPr>
        <w:snapToGrid w:val="0"/>
        <w:spacing w:line="360" w:lineRule="auto"/>
        <w:rPr>
          <w:rFonts w:ascii="仿宋" w:hAnsi="仿宋" w:eastAsia="仿宋"/>
          <w:sz w:val="24"/>
          <w:szCs w:val="24"/>
        </w:rPr>
      </w:pPr>
      <w:r>
        <w:rPr>
          <w:rFonts w:hint="eastAsia" w:ascii="仿宋" w:hAnsi="仿宋" w:eastAsia="仿宋"/>
          <w:sz w:val="24"/>
          <w:szCs w:val="24"/>
        </w:rPr>
        <w:drawing>
          <wp:inline distT="0" distB="0" distL="0" distR="0">
            <wp:extent cx="5274310" cy="3515995"/>
            <wp:effectExtent l="19050" t="0" r="2540" b="0"/>
            <wp:docPr id="29" name="图片 28" descr="微信图片_2022010617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微信图片_20220106173039.jpg"/>
                    <pic:cNvPicPr>
                      <a:picLocks noChangeAspect="1"/>
                    </pic:cNvPicPr>
                  </pic:nvPicPr>
                  <pic:blipFill>
                    <a:blip r:embed="rId28" cstate="print"/>
                    <a:stretch>
                      <a:fillRect/>
                    </a:stretch>
                  </pic:blipFill>
                  <pic:spPr>
                    <a:xfrm>
                      <a:off x="0" y="0"/>
                      <a:ext cx="5274310" cy="3515995"/>
                    </a:xfrm>
                    <a:prstGeom prst="rect">
                      <a:avLst/>
                    </a:prstGeom>
                  </pic:spPr>
                </pic:pic>
              </a:graphicData>
            </a:graphic>
          </wp:inline>
        </w:drawing>
      </w:r>
    </w:p>
    <w:p>
      <w:pPr>
        <w:snapToGrid w:val="0"/>
        <w:spacing w:line="360" w:lineRule="auto"/>
        <w:ind w:firstLine="480" w:firstLineChars="200"/>
        <w:rPr>
          <w:rFonts w:ascii="仿宋" w:hAnsi="仿宋" w:eastAsia="仿宋" w:cs="仿宋"/>
          <w:sz w:val="24"/>
          <w:szCs w:val="24"/>
        </w:rPr>
      </w:pPr>
      <w:r>
        <w:rPr>
          <w:rFonts w:hint="eastAsia" w:ascii="仿宋" w:hAnsi="仿宋" w:eastAsia="仿宋"/>
          <w:sz w:val="24"/>
          <w:szCs w:val="24"/>
        </w:rPr>
        <w:t>2021年5月，在北京美灵公益基金会的大力支持下，</w:t>
      </w:r>
      <w:r>
        <w:rPr>
          <w:rFonts w:hint="eastAsia" w:ascii="仿宋" w:hAnsi="仿宋" w:eastAsia="仿宋" w:cs="仿宋"/>
          <w:sz w:val="24"/>
          <w:szCs w:val="24"/>
        </w:rPr>
        <w:t>光盘行动专项基金开展“美灵·光盘打卡”图书捐赠活动，通过中国光华科技基金会“书海工程”向参与光盘行动的组织等进行图书捐赠共20万码洋，以促进生态文明素养教育和光盘行动的进一步开展。</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2021年6月，光盘打卡与CYCAN发起“益起低碳 光盘打卡”实践活动，活动为期25天，累计参与人数近3万，累计打卡次数47万。</w:t>
      </w:r>
    </w:p>
    <w:p>
      <w:pPr>
        <w:snapToGrid w:val="0"/>
        <w:spacing w:before="190" w:beforeLines="50" w:after="190" w:afterLines="50" w:line="360" w:lineRule="auto"/>
        <w:rPr>
          <w:rFonts w:ascii="仿宋" w:hAnsi="仿宋" w:eastAsia="仿宋"/>
          <w:sz w:val="24"/>
          <w:szCs w:val="24"/>
        </w:rPr>
      </w:pPr>
      <w:r>
        <w:rPr>
          <w:rFonts w:hint="eastAsia" w:ascii="仿宋" w:hAnsi="仿宋" w:eastAsia="仿宋"/>
          <w:sz w:val="24"/>
          <w:szCs w:val="24"/>
        </w:rPr>
        <w:drawing>
          <wp:inline distT="0" distB="0" distL="0" distR="0">
            <wp:extent cx="5273675" cy="2270760"/>
            <wp:effectExtent l="19050" t="0" r="2850" b="0"/>
            <wp:docPr id="33" name="图片 32" descr="微信图片_202201061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微信图片_20220106180100.jpg"/>
                    <pic:cNvPicPr>
                      <a:picLocks noChangeAspect="1"/>
                    </pic:cNvPicPr>
                  </pic:nvPicPr>
                  <pic:blipFill>
                    <a:blip r:embed="rId29" cstate="print"/>
                    <a:srcRect r="1035"/>
                    <a:stretch>
                      <a:fillRect/>
                    </a:stretch>
                  </pic:blipFill>
                  <pic:spPr>
                    <a:xfrm>
                      <a:off x="0" y="0"/>
                      <a:ext cx="5274000" cy="2271285"/>
                    </a:xfrm>
                    <a:prstGeom prst="rect">
                      <a:avLst/>
                    </a:prstGeom>
                  </pic:spPr>
                </pic:pic>
              </a:graphicData>
            </a:graphic>
          </wp:inline>
        </w:drawing>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2021年6月，光盘行动专项基金与吉林省市场监督管理厅、阿里巴巴本地生活合作，在全省餐饮企业发放光盘行动宣传海报、桌贴，营造节约光荣、浪费可耻的文明氛围。</w:t>
      </w:r>
    </w:p>
    <w:p>
      <w:pPr>
        <w:snapToGrid w:val="0"/>
        <w:spacing w:before="190" w:beforeLines="50" w:line="360" w:lineRule="auto"/>
        <w:rPr>
          <w:rFonts w:ascii="仿宋" w:hAnsi="仿宋" w:eastAsia="仿宋"/>
          <w:sz w:val="24"/>
          <w:szCs w:val="24"/>
        </w:rPr>
      </w:pPr>
      <w:r>
        <w:rPr>
          <w:rFonts w:hint="eastAsia" w:ascii="仿宋" w:hAnsi="仿宋" w:eastAsia="仿宋"/>
          <w:sz w:val="24"/>
          <w:szCs w:val="24"/>
        </w:rPr>
        <w:drawing>
          <wp:inline distT="0" distB="0" distL="0" distR="0">
            <wp:extent cx="5274310" cy="3343275"/>
            <wp:effectExtent l="19050" t="0" r="2540" b="0"/>
            <wp:docPr id="34" name="图片 33" descr="微信图片_2022010618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微信图片_20220106180248.jpg"/>
                    <pic:cNvPicPr>
                      <a:picLocks noChangeAspect="1"/>
                    </pic:cNvPicPr>
                  </pic:nvPicPr>
                  <pic:blipFill>
                    <a:blip r:embed="rId30" cstate="print"/>
                    <a:srcRect b="4878"/>
                    <a:stretch>
                      <a:fillRect/>
                    </a:stretch>
                  </pic:blipFill>
                  <pic:spPr>
                    <a:xfrm>
                      <a:off x="0" y="0"/>
                      <a:ext cx="5274310" cy="3343275"/>
                    </a:xfrm>
                    <a:prstGeom prst="rect">
                      <a:avLst/>
                    </a:prstGeom>
                  </pic:spPr>
                </pic:pic>
              </a:graphicData>
            </a:graphic>
          </wp:inline>
        </w:drawing>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021</w:t>
      </w:r>
      <w:r>
        <w:rPr>
          <w:rFonts w:hint="eastAsia" w:ascii="仿宋" w:hAnsi="仿宋" w:eastAsia="仿宋"/>
          <w:sz w:val="24"/>
          <w:szCs w:val="24"/>
        </w:rPr>
        <w:t>年9月，光盘打卡获得联合国环境署授权开展“可持续生活挑战”首期活动——参与者在1</w:t>
      </w:r>
      <w:r>
        <w:rPr>
          <w:rFonts w:ascii="仿宋" w:hAnsi="仿宋" w:eastAsia="仿宋"/>
          <w:sz w:val="24"/>
          <w:szCs w:val="24"/>
        </w:rPr>
        <w:t>5</w:t>
      </w:r>
      <w:r>
        <w:rPr>
          <w:rFonts w:hint="eastAsia" w:ascii="仿宋" w:hAnsi="仿宋" w:eastAsia="仿宋"/>
          <w:sz w:val="24"/>
          <w:szCs w:val="24"/>
        </w:rPr>
        <w:t>天的活动环节中完成减少浪费、绿色消费等可持续生活方式的线上打卡，即可获得联合国环境署提供的电子证书。首期活动有近万人参与，获得了良好的社会评价。该项目将作为光盘打卡的特色活动长期开展。</w:t>
      </w:r>
    </w:p>
    <w:p>
      <w:pPr>
        <w:snapToGrid w:val="0"/>
        <w:spacing w:before="133" w:beforeLines="35" w:after="190" w:afterLines="50" w:line="360" w:lineRule="auto"/>
        <w:jc w:val="center"/>
        <w:rPr>
          <w:rFonts w:ascii="仿宋" w:hAnsi="仿宋" w:eastAsia="仿宋"/>
          <w:sz w:val="24"/>
          <w:szCs w:val="24"/>
        </w:rPr>
      </w:pPr>
      <w:r>
        <w:rPr>
          <w:rFonts w:ascii="仿宋" w:hAnsi="仿宋" w:eastAsia="仿宋"/>
          <w:sz w:val="24"/>
          <w:szCs w:val="24"/>
        </w:rPr>
        <w:drawing>
          <wp:inline distT="0" distB="0" distL="0" distR="0">
            <wp:extent cx="4869815" cy="3689985"/>
            <wp:effectExtent l="19050" t="0" r="6372" b="0"/>
            <wp:docPr id="35" name="图片 2" descr="C:\Users\XUXU\AppData\Local\Temp\WeChat Files\f72fe666f456a6f67ef46740778e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C:\Users\XUXU\AppData\Local\Temp\WeChat Files\f72fe666f456a6f67ef46740778e02a.png"/>
                    <pic:cNvPicPr>
                      <a:picLocks noChangeAspect="1" noChangeArrowheads="1"/>
                    </pic:cNvPicPr>
                  </pic:nvPicPr>
                  <pic:blipFill>
                    <a:blip r:embed="rId31" cstate="print"/>
                    <a:srcRect/>
                    <a:stretch>
                      <a:fillRect/>
                    </a:stretch>
                  </pic:blipFill>
                  <pic:spPr>
                    <a:xfrm>
                      <a:off x="0" y="0"/>
                      <a:ext cx="4870428" cy="3690000"/>
                    </a:xfrm>
                    <a:prstGeom prst="rect">
                      <a:avLst/>
                    </a:prstGeom>
                    <a:noFill/>
                    <a:ln w="9525">
                      <a:noFill/>
                      <a:miter lim="800000"/>
                      <a:headEnd/>
                      <a:tailEnd/>
                    </a:ln>
                  </pic:spPr>
                </pic:pic>
              </a:graphicData>
            </a:graphic>
          </wp:inline>
        </w:drawing>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021</w:t>
      </w:r>
      <w:r>
        <w:rPr>
          <w:rFonts w:hint="eastAsia" w:ascii="仿宋" w:hAnsi="仿宋" w:eastAsia="仿宋"/>
          <w:sz w:val="24"/>
          <w:szCs w:val="24"/>
        </w:rPr>
        <w:t>年12月，光盘打卡携手冬奥组委会“低碳冬奥”小程序，动员社会各界公众加入低碳行动，用户可以把光盘打卡记录同步到“低碳冬奥”小程序并领取积分，兑换冬奥专属纪念品。</w:t>
      </w:r>
    </w:p>
    <w:p>
      <w:pPr>
        <w:snapToGrid w:val="0"/>
        <w:spacing w:before="133" w:beforeLines="35" w:line="360" w:lineRule="auto"/>
        <w:jc w:val="center"/>
        <w:rPr>
          <w:rFonts w:ascii="仿宋" w:hAnsi="仿宋" w:eastAsia="仿宋"/>
          <w:sz w:val="24"/>
          <w:szCs w:val="24"/>
        </w:rPr>
      </w:pPr>
      <w:r>
        <w:rPr>
          <w:rFonts w:ascii="仿宋" w:hAnsi="仿宋" w:eastAsia="仿宋"/>
          <w:sz w:val="24"/>
          <w:szCs w:val="24"/>
        </w:rPr>
        <w:drawing>
          <wp:inline distT="0" distB="0" distL="0" distR="0">
            <wp:extent cx="1973580" cy="2519680"/>
            <wp:effectExtent l="19050" t="0" r="7200" b="0"/>
            <wp:docPr id="36" name="图片 6" descr="C:\Users\XUXU\AppData\Local\Temp\WeChat Files\d4a06576a9f68cad98bf2d795fbdc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C:\Users\XUXU\AppData\Local\Temp\WeChat Files\d4a06576a9f68cad98bf2d795fbdc55.png"/>
                    <pic:cNvPicPr>
                      <a:picLocks noChangeAspect="1" noChangeArrowheads="1"/>
                    </pic:cNvPicPr>
                  </pic:nvPicPr>
                  <pic:blipFill>
                    <a:blip r:embed="rId32" cstate="print"/>
                    <a:srcRect b="37898"/>
                    <a:stretch>
                      <a:fillRect/>
                    </a:stretch>
                  </pic:blipFill>
                  <pic:spPr>
                    <a:xfrm>
                      <a:off x="0" y="0"/>
                      <a:ext cx="1974000" cy="2520000"/>
                    </a:xfrm>
                    <a:prstGeom prst="rect">
                      <a:avLst/>
                    </a:prstGeom>
                    <a:noFill/>
                    <a:ln w="9525">
                      <a:noFill/>
                      <a:miter lim="800000"/>
                      <a:headEnd/>
                      <a:tailEnd/>
                    </a:ln>
                  </pic:spPr>
                </pic:pic>
              </a:graphicData>
            </a:graphic>
          </wp:inline>
        </w:drawing>
      </w:r>
      <w:r>
        <w:rPr>
          <w:rFonts w:ascii="仿宋" w:hAnsi="仿宋" w:eastAsia="仿宋"/>
          <w:sz w:val="24"/>
          <w:szCs w:val="24"/>
        </w:rPr>
        <w:drawing>
          <wp:inline distT="0" distB="0" distL="0" distR="0">
            <wp:extent cx="2209800" cy="2533015"/>
            <wp:effectExtent l="19050" t="0" r="0" b="0"/>
            <wp:docPr id="40" name="图片 7" descr="C:\Users\XUXU\AppData\Local\Temp\WeChat Files\ed598d8d243a920bbe23ba337c05d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C:\Users\XUXU\AppData\Local\Temp\WeChat Files\ed598d8d243a920bbe23ba337c05d21.png"/>
                    <pic:cNvPicPr>
                      <a:picLocks noChangeAspect="1" noChangeArrowheads="1"/>
                    </pic:cNvPicPr>
                  </pic:nvPicPr>
                  <pic:blipFill>
                    <a:blip r:embed="rId33" cstate="print"/>
                    <a:srcRect b="2370"/>
                    <a:stretch>
                      <a:fillRect/>
                    </a:stretch>
                  </pic:blipFill>
                  <pic:spPr>
                    <a:xfrm>
                      <a:off x="0" y="0"/>
                      <a:ext cx="2209800" cy="2533332"/>
                    </a:xfrm>
                    <a:prstGeom prst="rect">
                      <a:avLst/>
                    </a:prstGeom>
                    <a:noFill/>
                    <a:ln w="9525">
                      <a:noFill/>
                      <a:miter lim="800000"/>
                      <a:headEnd/>
                      <a:tailEnd/>
                    </a:ln>
                  </pic:spPr>
                </pic:pic>
              </a:graphicData>
            </a:graphic>
          </wp:inline>
        </w:drawing>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2</w:t>
      </w:r>
      <w:r>
        <w:rPr>
          <w:rFonts w:ascii="仿宋" w:hAnsi="仿宋" w:eastAsia="仿宋"/>
          <w:sz w:val="24"/>
          <w:szCs w:val="24"/>
        </w:rPr>
        <w:t>021</w:t>
      </w:r>
      <w:r>
        <w:rPr>
          <w:rFonts w:hint="eastAsia" w:ascii="仿宋" w:hAnsi="仿宋" w:eastAsia="仿宋"/>
          <w:sz w:val="24"/>
          <w:szCs w:val="24"/>
        </w:rPr>
        <w:t>年12月，苏州光盘打卡行动正式启动，苏州市城市管理局、机关事务管理局、商务局、广播电视总台等相关领导出席启动仪式。截至月底，已有58家学校、企业、机关单位等机构加入，累计贡献光盘 33万次。</w:t>
      </w:r>
    </w:p>
    <w:p>
      <w:pPr>
        <w:snapToGrid w:val="0"/>
        <w:spacing w:before="190" w:beforeLines="50" w:after="190" w:afterLines="50" w:line="360" w:lineRule="auto"/>
        <w:rPr>
          <w:rFonts w:ascii="仿宋" w:hAnsi="仿宋" w:eastAsia="仿宋"/>
          <w:sz w:val="24"/>
          <w:szCs w:val="24"/>
        </w:rPr>
      </w:pPr>
      <w:r>
        <w:rPr>
          <w:rFonts w:ascii="仿宋" w:hAnsi="仿宋" w:eastAsia="仿宋"/>
          <w:sz w:val="24"/>
          <w:szCs w:val="24"/>
        </w:rPr>
        <w:drawing>
          <wp:inline distT="0" distB="0" distL="0" distR="0">
            <wp:extent cx="5274310" cy="3515995"/>
            <wp:effectExtent l="19050" t="0" r="2540" b="0"/>
            <wp:docPr id="5" name="图片 4" descr="微信图片_2022010709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20107094659.jpg"/>
                    <pic:cNvPicPr>
                      <a:picLocks noChangeAspect="1"/>
                    </pic:cNvPicPr>
                  </pic:nvPicPr>
                  <pic:blipFill>
                    <a:blip r:embed="rId34" cstate="print"/>
                    <a:stretch>
                      <a:fillRect/>
                    </a:stretch>
                  </pic:blipFill>
                  <pic:spPr>
                    <a:xfrm>
                      <a:off x="0" y="0"/>
                      <a:ext cx="5274310" cy="3515995"/>
                    </a:xfrm>
                    <a:prstGeom prst="rect">
                      <a:avLst/>
                    </a:prstGeom>
                  </pic:spPr>
                </pic:pic>
              </a:graphicData>
            </a:graphic>
          </wp:inline>
        </w:drawing>
      </w:r>
    </w:p>
    <w:p>
      <w:pPr>
        <w:snapToGrid w:val="0"/>
        <w:spacing w:line="360" w:lineRule="auto"/>
        <w:ind w:firstLine="480" w:firstLineChars="200"/>
        <w:rPr>
          <w:rFonts w:hint="eastAsia" w:ascii="仿宋" w:hAnsi="仿宋" w:eastAsia="仿宋"/>
          <w:sz w:val="24"/>
          <w:szCs w:val="24"/>
        </w:rPr>
      </w:pPr>
      <w:r>
        <w:rPr>
          <w:rFonts w:hint="eastAsia" w:ascii="仿宋" w:hAnsi="仿宋" w:eastAsia="仿宋"/>
          <w:sz w:val="24"/>
          <w:szCs w:val="24"/>
        </w:rPr>
        <w:t>2021年是不平凡的一年。这一年，光盘行动专项基金在</w:t>
      </w:r>
      <w:r>
        <w:rPr>
          <w:rFonts w:ascii="仿宋" w:hAnsi="仿宋" w:eastAsia="仿宋" w:cs="仿宋"/>
          <w:sz w:val="24"/>
          <w:szCs w:val="24"/>
        </w:rPr>
        <w:t>北京美灵公益基金会</w:t>
      </w:r>
      <w:r>
        <w:rPr>
          <w:rFonts w:hint="eastAsia" w:ascii="仿宋" w:hAnsi="仿宋" w:eastAsia="仿宋" w:cs="仿宋"/>
          <w:sz w:val="24"/>
          <w:szCs w:val="24"/>
        </w:rPr>
        <w:t>、</w:t>
      </w:r>
      <w:r>
        <w:rPr>
          <w:rFonts w:hint="eastAsia" w:ascii="仿宋" w:hAnsi="仿宋" w:eastAsia="仿宋"/>
          <w:sz w:val="24"/>
          <w:szCs w:val="24"/>
        </w:rPr>
        <w:t>共青团中央社会联络部、中国光华科技基金会等单位的大力支持下正式设立并揭牌启动，广泛开展厉行节约、反对浪费教育实践活动，带动数百万青少年通过光盘打卡累计节粮两千余吨，为节约、环保的生态文明素养教育及传播、实践</w:t>
      </w:r>
      <w:r>
        <w:rPr>
          <w:rFonts w:ascii="仿宋" w:hAnsi="仿宋" w:eastAsia="仿宋"/>
          <w:sz w:val="24"/>
          <w:szCs w:val="24"/>
        </w:rPr>
        <w:t>以公益助公益的可持续发展机制</w:t>
      </w:r>
      <w:r>
        <w:rPr>
          <w:rFonts w:hint="eastAsia" w:ascii="仿宋" w:hAnsi="仿宋" w:eastAsia="仿宋"/>
          <w:sz w:val="24"/>
          <w:szCs w:val="24"/>
        </w:rPr>
        <w:t>做出了重要贡献。</w:t>
      </w:r>
    </w:p>
    <w:p>
      <w:pPr>
        <w:snapToGrid w:val="0"/>
        <w:spacing w:before="190" w:beforeLines="50" w:line="360" w:lineRule="auto"/>
        <w:rPr>
          <w:rFonts w:ascii="仿宋" w:hAnsi="仿宋" w:eastAsia="仿宋"/>
          <w:sz w:val="24"/>
          <w:szCs w:val="24"/>
        </w:rPr>
      </w:pPr>
      <w:r>
        <w:rPr>
          <w:rFonts w:ascii="仿宋" w:hAnsi="仿宋" w:eastAsia="仿宋"/>
          <w:sz w:val="24"/>
          <w:szCs w:val="24"/>
        </w:rPr>
        <w:drawing>
          <wp:anchor distT="0" distB="0" distL="114300" distR="114300" simplePos="0" relativeHeight="251671552" behindDoc="0" locked="0" layoutInCell="1" allowOverlap="1">
            <wp:simplePos x="0" y="0"/>
            <wp:positionH relativeFrom="column">
              <wp:posOffset>1543050</wp:posOffset>
            </wp:positionH>
            <wp:positionV relativeFrom="paragraph">
              <wp:posOffset>125095</wp:posOffset>
            </wp:positionV>
            <wp:extent cx="866775" cy="1143000"/>
            <wp:effectExtent l="19050" t="0" r="9525" b="0"/>
            <wp:wrapNone/>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noChangeArrowheads="1"/>
                    </pic:cNvPicPr>
                  </pic:nvPicPr>
                  <pic:blipFill>
                    <a:blip r:embed="rId35" cstate="print"/>
                    <a:srcRect l="27778" r="21667"/>
                    <a:stretch>
                      <a:fillRect/>
                    </a:stretch>
                  </pic:blipFill>
                  <pic:spPr>
                    <a:xfrm>
                      <a:off x="0" y="0"/>
                      <a:ext cx="866775" cy="1143000"/>
                    </a:xfrm>
                    <a:prstGeom prst="rect">
                      <a:avLst/>
                    </a:prstGeom>
                    <a:noFill/>
                    <a:ln w="9525">
                      <a:noFill/>
                      <a:miter lim="800000"/>
                      <a:headEnd/>
                      <a:tailEnd/>
                    </a:ln>
                  </pic:spPr>
                </pic:pic>
              </a:graphicData>
            </a:graphic>
          </wp:anchor>
        </w:drawing>
      </w:r>
      <w:r>
        <w:rPr>
          <w:rFonts w:ascii="仿宋" w:hAnsi="仿宋" w:eastAsia="仿宋"/>
          <w:sz w:val="24"/>
          <w:szCs w:val="24"/>
        </w:rPr>
        <w:drawing>
          <wp:anchor distT="0" distB="0" distL="114300" distR="114300" simplePos="0" relativeHeight="251670528" behindDoc="0" locked="0" layoutInCell="1" allowOverlap="1">
            <wp:simplePos x="0" y="0"/>
            <wp:positionH relativeFrom="column">
              <wp:posOffset>1543050</wp:posOffset>
            </wp:positionH>
            <wp:positionV relativeFrom="paragraph">
              <wp:posOffset>1344295</wp:posOffset>
            </wp:positionV>
            <wp:extent cx="866775" cy="1152525"/>
            <wp:effectExtent l="19050" t="0" r="9525" b="0"/>
            <wp:wrapNone/>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noChangeArrowheads="1"/>
                    </pic:cNvPicPr>
                  </pic:nvPicPr>
                  <pic:blipFill>
                    <a:blip r:embed="rId36" cstate="print"/>
                    <a:srcRect/>
                    <a:stretch>
                      <a:fillRect/>
                    </a:stretch>
                  </pic:blipFill>
                  <pic:spPr>
                    <a:xfrm>
                      <a:off x="0" y="0"/>
                      <a:ext cx="866775" cy="1152525"/>
                    </a:xfrm>
                    <a:prstGeom prst="rect">
                      <a:avLst/>
                    </a:prstGeom>
                    <a:noFill/>
                    <a:ln w="9525">
                      <a:noFill/>
                      <a:miter lim="800000"/>
                      <a:headEnd/>
                      <a:tailEnd/>
                    </a:ln>
                  </pic:spPr>
                </pic:pic>
              </a:graphicData>
            </a:graphic>
          </wp:anchor>
        </w:drawing>
      </w:r>
      <w:r>
        <w:rPr>
          <w:rFonts w:ascii="仿宋" w:hAnsi="仿宋" w:eastAsia="仿宋"/>
          <w:sz w:val="24"/>
          <w:szCs w:val="24"/>
        </w:rPr>
        <w:drawing>
          <wp:anchor distT="0" distB="0" distL="114300" distR="114300" simplePos="0" relativeHeight="251668480" behindDoc="0" locked="0" layoutInCell="1" allowOverlap="1">
            <wp:simplePos x="0" y="0"/>
            <wp:positionH relativeFrom="column">
              <wp:posOffset>4486275</wp:posOffset>
            </wp:positionH>
            <wp:positionV relativeFrom="paragraph">
              <wp:posOffset>125095</wp:posOffset>
            </wp:positionV>
            <wp:extent cx="790575" cy="2371725"/>
            <wp:effectExtent l="19050" t="0" r="9525" b="0"/>
            <wp:wrapNone/>
            <wp:docPr id="7" name="图片 6" descr="微信图片_2022010616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图片_20220106164041.jpg"/>
                    <pic:cNvPicPr>
                      <a:picLocks noChangeAspect="1"/>
                    </pic:cNvPicPr>
                  </pic:nvPicPr>
                  <pic:blipFill>
                    <a:blip r:embed="rId37" cstate="print"/>
                    <a:stretch>
                      <a:fillRect/>
                    </a:stretch>
                  </pic:blipFill>
                  <pic:spPr>
                    <a:xfrm>
                      <a:off x="0" y="0"/>
                      <a:ext cx="790575" cy="2371725"/>
                    </a:xfrm>
                    <a:prstGeom prst="rect">
                      <a:avLst/>
                    </a:prstGeom>
                  </pic:spPr>
                </pic:pic>
              </a:graphicData>
            </a:graphic>
          </wp:anchor>
        </w:drawing>
      </w:r>
      <w:r>
        <w:rPr>
          <w:rFonts w:ascii="仿宋" w:hAnsi="仿宋" w:eastAsia="仿宋"/>
          <w:sz w:val="24"/>
          <w:szCs w:val="24"/>
        </w:rPr>
        <w:drawing>
          <wp:anchor distT="0" distB="0" distL="114300" distR="114300" simplePos="0" relativeHeight="251659264" behindDoc="0" locked="0" layoutInCell="1" allowOverlap="1">
            <wp:simplePos x="0" y="0"/>
            <wp:positionH relativeFrom="column">
              <wp:posOffset>2476500</wp:posOffset>
            </wp:positionH>
            <wp:positionV relativeFrom="paragraph">
              <wp:posOffset>1334770</wp:posOffset>
            </wp:positionV>
            <wp:extent cx="1943100" cy="1162050"/>
            <wp:effectExtent l="19050" t="0" r="0" b="0"/>
            <wp:wrapNone/>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38" cstate="print"/>
                    <a:srcRect t="10294"/>
                    <a:stretch>
                      <a:fillRect/>
                    </a:stretch>
                  </pic:blipFill>
                  <pic:spPr>
                    <a:xfrm>
                      <a:off x="0" y="0"/>
                      <a:ext cx="1943100" cy="1162050"/>
                    </a:xfrm>
                    <a:prstGeom prst="rect">
                      <a:avLst/>
                    </a:prstGeom>
                    <a:noFill/>
                    <a:ln w="9525">
                      <a:noFill/>
                      <a:miter lim="800000"/>
                      <a:headEnd/>
                      <a:tailEnd/>
                    </a:ln>
                  </pic:spPr>
                </pic:pic>
              </a:graphicData>
            </a:graphic>
          </wp:anchor>
        </w:drawing>
      </w:r>
      <w:r>
        <w:rPr>
          <w:rFonts w:ascii="仿宋" w:hAnsi="仿宋" w:eastAsia="仿宋"/>
          <w:sz w:val="24"/>
          <w:szCs w:val="24"/>
        </w:rPr>
        <w:drawing>
          <wp:anchor distT="0" distB="0" distL="114300" distR="114300" simplePos="0" relativeHeight="251669504" behindDoc="0" locked="0" layoutInCell="1" allowOverlap="1">
            <wp:simplePos x="0" y="0"/>
            <wp:positionH relativeFrom="column">
              <wp:posOffset>2476500</wp:posOffset>
            </wp:positionH>
            <wp:positionV relativeFrom="paragraph">
              <wp:posOffset>125095</wp:posOffset>
            </wp:positionV>
            <wp:extent cx="1943100" cy="1143000"/>
            <wp:effectExtent l="19050" t="0" r="0" b="0"/>
            <wp:wrapNone/>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noChangeArrowheads="1"/>
                    </pic:cNvPicPr>
                  </pic:nvPicPr>
                  <pic:blipFill>
                    <a:blip r:embed="rId39" cstate="print"/>
                    <a:srcRect t="11765"/>
                    <a:stretch>
                      <a:fillRect/>
                    </a:stretch>
                  </pic:blipFill>
                  <pic:spPr>
                    <a:xfrm>
                      <a:off x="0" y="0"/>
                      <a:ext cx="1943100" cy="1143000"/>
                    </a:xfrm>
                    <a:prstGeom prst="rect">
                      <a:avLst/>
                    </a:prstGeom>
                    <a:noFill/>
                    <a:ln w="9525">
                      <a:noFill/>
                      <a:miter lim="800000"/>
                      <a:headEnd/>
                      <a:tailEnd/>
                    </a:ln>
                  </pic:spPr>
                </pic:pic>
              </a:graphicData>
            </a:graphic>
          </wp:anchor>
        </w:drawing>
      </w:r>
      <w:r>
        <w:rPr>
          <w:rFonts w:ascii="仿宋" w:hAnsi="仿宋" w:eastAsia="仿宋"/>
          <w:sz w:val="24"/>
          <w:szCs w:val="24"/>
        </w:rPr>
        <w:drawing>
          <wp:inline distT="0" distB="0" distL="0" distR="0">
            <wp:extent cx="1464945" cy="2375535"/>
            <wp:effectExtent l="19050" t="0" r="1807" b="0"/>
            <wp:docPr id="42" name="图片 15" descr="纽约时代广场大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5" descr="纽约时代广场大屏.jpg"/>
                    <pic:cNvPicPr>
                      <a:picLocks noChangeAspect="1"/>
                    </pic:cNvPicPr>
                  </pic:nvPicPr>
                  <pic:blipFill>
                    <a:blip r:embed="rId40" cstate="print"/>
                    <a:srcRect l="6400" r="9600" b="2326"/>
                    <a:stretch>
                      <a:fillRect/>
                    </a:stretch>
                  </pic:blipFill>
                  <pic:spPr>
                    <a:xfrm>
                      <a:off x="0" y="0"/>
                      <a:ext cx="1465043" cy="2376000"/>
                    </a:xfrm>
                    <a:prstGeom prst="rect">
                      <a:avLst/>
                    </a:prstGeom>
                  </pic:spPr>
                </pic:pic>
              </a:graphicData>
            </a:graphic>
          </wp:inline>
        </w:drawing>
      </w:r>
      <w:r>
        <w:rPr>
          <w:rFonts w:hint="eastAsia" w:ascii="仿宋" w:hAnsi="仿宋" w:eastAsia="仿宋"/>
          <w:sz w:val="24"/>
          <w:szCs w:val="24"/>
        </w:rPr>
        <w:t xml:space="preserve"> </w:t>
      </w:r>
    </w:p>
    <w:p>
      <w:pPr>
        <w:ind w:firstLine="480" w:firstLineChars="200"/>
        <w:rPr>
          <w:rFonts w:ascii="仿宋" w:hAnsi="仿宋" w:eastAsia="仿宋"/>
          <w:sz w:val="24"/>
          <w:szCs w:val="24"/>
        </w:rPr>
      </w:pPr>
      <w:r>
        <w:rPr>
          <w:rFonts w:ascii="仿宋" w:hAnsi="仿宋" w:eastAsia="仿宋"/>
          <w:sz w:val="24"/>
          <w:szCs w:val="24"/>
        </w:rPr>
        <w:t>2022虎年春节期间，</w:t>
      </w:r>
      <w:r>
        <w:rPr>
          <w:rFonts w:hint="eastAsia" w:ascii="仿宋" w:hAnsi="仿宋" w:eastAsia="仿宋"/>
          <w:sz w:val="24"/>
          <w:szCs w:val="24"/>
        </w:rPr>
        <w:t>在</w:t>
      </w:r>
      <w:r>
        <w:rPr>
          <w:rFonts w:ascii="仿宋" w:hAnsi="仿宋" w:eastAsia="仿宋"/>
          <w:sz w:val="24"/>
          <w:szCs w:val="24"/>
        </w:rPr>
        <w:t>北京美灵公益基金会</w:t>
      </w:r>
      <w:r>
        <w:rPr>
          <w:rFonts w:hint="eastAsia" w:ascii="仿宋" w:hAnsi="仿宋" w:eastAsia="仿宋"/>
          <w:sz w:val="24"/>
          <w:szCs w:val="24"/>
        </w:rPr>
        <w:t>支持下，</w:t>
      </w:r>
      <w:r>
        <w:rPr>
          <w:rFonts w:ascii="仿宋" w:hAnsi="仿宋" w:eastAsia="仿宋"/>
          <w:sz w:val="24"/>
          <w:szCs w:val="24"/>
        </w:rPr>
        <w:t>光盘打卡创始人、联合国可持续发展目标青年领袖</w:t>
      </w:r>
      <w:r>
        <w:rPr>
          <w:rFonts w:hint="eastAsia" w:ascii="仿宋" w:hAnsi="仿宋" w:eastAsia="仿宋"/>
          <w:sz w:val="24"/>
          <w:szCs w:val="24"/>
        </w:rPr>
        <w:t>、</w:t>
      </w:r>
      <w:r>
        <w:rPr>
          <w:rFonts w:ascii="仿宋" w:hAnsi="仿宋" w:eastAsia="仿宋"/>
          <w:sz w:val="24"/>
          <w:szCs w:val="24"/>
        </w:rPr>
        <w:t>北京美灵公益基金会理事柳济琛登陆纽约时代广场大屏幕，向全球华人拜年，倡导每个人都可以通过光盘行动为减少食物浪费、构建餐桌上的人类命运共同体贡献自己的力量。</w:t>
      </w:r>
      <w:r>
        <w:rPr>
          <w:rFonts w:hint="eastAsia" w:ascii="仿宋" w:hAnsi="仿宋" w:eastAsia="仿宋"/>
          <w:sz w:val="24"/>
          <w:szCs w:val="24"/>
        </w:rPr>
        <w:t>光盘打卡公益项目及其创始人登上美国时代时代广场大的公益传播，为</w:t>
      </w:r>
      <w:r>
        <w:rPr>
          <w:rFonts w:ascii="仿宋" w:hAnsi="仿宋" w:eastAsia="仿宋"/>
          <w:sz w:val="24"/>
          <w:szCs w:val="24"/>
        </w:rPr>
        <w:t>2022</w:t>
      </w:r>
      <w:r>
        <w:rPr>
          <w:rFonts w:hint="eastAsia" w:ascii="仿宋" w:hAnsi="仿宋" w:eastAsia="仿宋"/>
          <w:sz w:val="24"/>
          <w:szCs w:val="24"/>
        </w:rPr>
        <w:t>年光盘行动专项基金的工作拿到了新年“头彩”，也体现着依托中国公益大平台，不断完善和推进光盘行动整体方案，为助力减少粮食浪费、解决全球粮食危机、构建餐桌上的人类命运共同体奉献来自中国青年公益志愿者的中国智慧和中国方案。</w:t>
      </w:r>
    </w:p>
    <w:p>
      <w:pPr>
        <w:ind w:firstLine="480" w:firstLineChars="200"/>
        <w:rPr>
          <w:rFonts w:hint="eastAsia" w:ascii="仿宋" w:hAnsi="仿宋" w:eastAsia="仿宋"/>
          <w:sz w:val="24"/>
          <w:szCs w:val="24"/>
        </w:rPr>
      </w:pPr>
    </w:p>
    <w:p>
      <w:pPr>
        <w:snapToGrid w:val="0"/>
        <w:spacing w:line="360" w:lineRule="auto"/>
        <w:rPr>
          <w:rFonts w:hint="eastAsia" w:ascii="仿宋" w:hAnsi="仿宋" w:eastAsia="仿宋"/>
          <w:sz w:val="24"/>
          <w:szCs w:val="24"/>
        </w:rPr>
      </w:pPr>
      <w:r>
        <w:drawing>
          <wp:inline distT="0" distB="0" distL="0" distR="0">
            <wp:extent cx="5266690" cy="3452495"/>
            <wp:effectExtent l="0" t="0" r="0" b="0"/>
            <wp:docPr id="26" name="图片 26" descr="大屏配图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大屏配图final"/>
                    <pic:cNvPicPr>
                      <a:picLocks noChangeAspect="1"/>
                    </pic:cNvPicPr>
                  </pic:nvPicPr>
                  <pic:blipFill>
                    <a:blip r:embed="rId41"/>
                    <a:stretch>
                      <a:fillRect/>
                    </a:stretch>
                  </pic:blipFill>
                  <pic:spPr>
                    <a:xfrm>
                      <a:off x="0" y="0"/>
                      <a:ext cx="5266690" cy="3452495"/>
                    </a:xfrm>
                    <a:prstGeom prst="rect">
                      <a:avLst/>
                    </a:prstGeom>
                  </pic:spPr>
                </pic:pic>
              </a:graphicData>
            </a:graphic>
          </wp:inline>
        </w:drawing>
      </w:r>
    </w:p>
    <w:p>
      <w:pPr>
        <w:snapToGrid w:val="0"/>
        <w:spacing w:line="360" w:lineRule="auto"/>
        <w:ind w:firstLine="480" w:firstLineChars="200"/>
        <w:jc w:val="center"/>
        <w:rPr>
          <w:rFonts w:hint="eastAsia" w:ascii="仿宋" w:hAnsi="仿宋" w:eastAsia="仿宋"/>
          <w:sz w:val="24"/>
          <w:szCs w:val="24"/>
        </w:rPr>
      </w:pPr>
    </w:p>
    <w:p>
      <w:pPr>
        <w:snapToGrid w:val="0"/>
        <w:spacing w:before="190" w:beforeLines="50" w:line="360" w:lineRule="auto"/>
        <w:rPr>
          <w:rFonts w:ascii="华文中宋" w:hAnsi="华文中宋" w:eastAsia="华文中宋"/>
          <w:sz w:val="24"/>
          <w:szCs w:val="24"/>
        </w:rPr>
      </w:pPr>
      <w:r>
        <w:rPr>
          <w:rFonts w:hint="eastAsia" w:ascii="华文中宋" w:hAnsi="华文中宋" w:eastAsia="华文中宋"/>
          <w:sz w:val="24"/>
          <w:szCs w:val="24"/>
        </w:rPr>
        <w:t>三、2021年度项目财务状况</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1、收到捐款/物资</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① 共收捐赠款项1,004,015.32元（扣除光华基金会管理费后903,814.55元），其中：北京美灵公益基金会捐赠1,000,000元；腾讯公益“光盘打卡全民公益行动”项目及“光盘行动从娃娃抓起”项目捐款4015.32元；</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 xml:space="preserve">② </w:t>
      </w:r>
      <w:r>
        <w:rPr>
          <w:rFonts w:ascii="仿宋" w:hAnsi="仿宋" w:eastAsia="仿宋"/>
          <w:sz w:val="24"/>
          <w:szCs w:val="24"/>
        </w:rPr>
        <w:t>共收捐赠图书</w:t>
      </w:r>
      <w:r>
        <w:rPr>
          <w:rFonts w:hint="eastAsia" w:ascii="仿宋" w:hAnsi="仿宋" w:eastAsia="仿宋"/>
          <w:sz w:val="24"/>
          <w:szCs w:val="24"/>
        </w:rPr>
        <w:t>20万码洋，由中国光华科技基金会“书海工程”捐助。</w:t>
      </w:r>
    </w:p>
    <w:p>
      <w:pPr>
        <w:snapToGrid w:val="0"/>
        <w:spacing w:before="95" w:beforeLines="25" w:after="95" w:afterLines="25" w:line="360" w:lineRule="auto"/>
        <w:ind w:firstLine="480" w:firstLineChars="200"/>
        <w:rPr>
          <w:rFonts w:ascii="仿宋" w:hAnsi="仿宋" w:eastAsia="仿宋"/>
          <w:sz w:val="24"/>
          <w:szCs w:val="24"/>
        </w:rPr>
      </w:pPr>
      <w:r>
        <w:rPr>
          <w:rFonts w:hint="eastAsia" w:ascii="仿宋" w:hAnsi="仿宋" w:eastAsia="仿宋"/>
          <w:sz w:val="24"/>
          <w:szCs w:val="24"/>
        </w:rPr>
        <w:t>2、支出款项/物资</w:t>
      </w:r>
    </w:p>
    <w:tbl>
      <w:tblPr>
        <w:tblStyle w:val="10"/>
        <w:tblW w:w="0" w:type="auto"/>
        <w:tblInd w:w="598"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822"/>
        <w:gridCol w:w="2516"/>
        <w:gridCol w:w="1181"/>
        <w:gridCol w:w="1181"/>
        <w:gridCol w:w="1181"/>
        <w:gridCol w:w="958"/>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0" w:hRule="atLeast"/>
        </w:trPr>
        <w:tc>
          <w:tcPr>
            <w:tcW w:w="822" w:type="dxa"/>
            <w:tcBorders>
              <w:top w:val="single" w:color="auto" w:sz="4" w:space="0"/>
              <w:bottom w:val="dotted" w:color="auto" w:sz="4" w:space="0"/>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序号</w:t>
            </w:r>
          </w:p>
        </w:tc>
        <w:tc>
          <w:tcPr>
            <w:tcW w:w="2516" w:type="dxa"/>
            <w:tcBorders>
              <w:top w:val="single" w:color="auto" w:sz="4" w:space="0"/>
              <w:bottom w:val="dotted" w:color="auto" w:sz="4" w:space="0"/>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支出项目</w:t>
            </w:r>
          </w:p>
        </w:tc>
        <w:tc>
          <w:tcPr>
            <w:tcW w:w="1181" w:type="dxa"/>
            <w:tcBorders>
              <w:top w:val="single" w:color="auto" w:sz="4" w:space="0"/>
              <w:bottom w:val="dotted" w:color="auto" w:sz="4" w:space="0"/>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项目总预算（元）</w:t>
            </w:r>
          </w:p>
        </w:tc>
        <w:tc>
          <w:tcPr>
            <w:tcW w:w="1181" w:type="dxa"/>
            <w:tcBorders>
              <w:top w:val="single" w:color="auto" w:sz="4" w:space="0"/>
              <w:bottom w:val="dotted" w:color="auto" w:sz="4" w:space="0"/>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已拨付金额</w:t>
            </w:r>
            <w:r>
              <w:rPr>
                <w:rFonts w:hint="eastAsia" w:ascii="仿宋" w:hAnsi="仿宋" w:eastAsia="仿宋"/>
                <w:sz w:val="18"/>
                <w:szCs w:val="18"/>
              </w:rPr>
              <w:t xml:space="preserve">           </w:t>
            </w:r>
            <w:r>
              <w:rPr>
                <w:rFonts w:ascii="仿宋" w:hAnsi="仿宋" w:eastAsia="仿宋"/>
                <w:sz w:val="18"/>
                <w:szCs w:val="18"/>
              </w:rPr>
              <w:t>（元）</w:t>
            </w:r>
          </w:p>
        </w:tc>
        <w:tc>
          <w:tcPr>
            <w:tcW w:w="1181" w:type="dxa"/>
            <w:tcBorders>
              <w:top w:val="single" w:color="auto" w:sz="4" w:space="0"/>
              <w:bottom w:val="dotted" w:color="auto" w:sz="4" w:space="0"/>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待拨付金额</w:t>
            </w:r>
            <w:r>
              <w:rPr>
                <w:rFonts w:hint="eastAsia" w:ascii="仿宋" w:hAnsi="仿宋" w:eastAsia="仿宋"/>
                <w:sz w:val="18"/>
                <w:szCs w:val="18"/>
              </w:rPr>
              <w:t xml:space="preserve">          </w:t>
            </w:r>
            <w:r>
              <w:rPr>
                <w:rFonts w:ascii="仿宋" w:hAnsi="仿宋" w:eastAsia="仿宋"/>
                <w:sz w:val="18"/>
                <w:szCs w:val="18"/>
              </w:rPr>
              <w:t>（元）</w:t>
            </w:r>
          </w:p>
        </w:tc>
        <w:tc>
          <w:tcPr>
            <w:tcW w:w="958" w:type="dxa"/>
            <w:tcBorders>
              <w:top w:val="single" w:color="auto" w:sz="4" w:space="0"/>
              <w:bottom w:val="dotted" w:color="auto" w:sz="4" w:space="0"/>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备注</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22" w:type="dxa"/>
            <w:tcBorders>
              <w:top w:val="dotted" w:color="auto" w:sz="4" w:space="0"/>
              <w:bottom w:val="nil"/>
            </w:tcBorders>
            <w:vAlign w:val="center"/>
          </w:tcPr>
          <w:p>
            <w:pPr>
              <w:snapToGrid w:val="0"/>
              <w:spacing w:before="114" w:beforeLines="30" w:after="114" w:afterLines="30"/>
              <w:jc w:val="center"/>
              <w:rPr>
                <w:rFonts w:ascii="仿宋" w:hAnsi="仿宋" w:eastAsia="仿宋"/>
                <w:sz w:val="18"/>
                <w:szCs w:val="18"/>
              </w:rPr>
            </w:pPr>
            <w:r>
              <w:rPr>
                <w:rFonts w:hint="eastAsia" w:ascii="仿宋" w:hAnsi="仿宋" w:eastAsia="仿宋"/>
                <w:sz w:val="18"/>
                <w:szCs w:val="18"/>
              </w:rPr>
              <w:t>1</w:t>
            </w:r>
          </w:p>
        </w:tc>
        <w:tc>
          <w:tcPr>
            <w:tcW w:w="2516" w:type="dxa"/>
            <w:tcBorders>
              <w:top w:val="dotted" w:color="auto" w:sz="4" w:space="0"/>
              <w:bottom w:val="nil"/>
            </w:tcBorders>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基金启动仪式</w:t>
            </w:r>
          </w:p>
        </w:tc>
        <w:tc>
          <w:tcPr>
            <w:tcW w:w="1181" w:type="dxa"/>
            <w:tcBorders>
              <w:top w:val="dotted" w:color="auto" w:sz="4" w:space="0"/>
              <w:bottom w:val="nil"/>
            </w:tcBorders>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23218.73</w:t>
            </w:r>
          </w:p>
        </w:tc>
        <w:tc>
          <w:tcPr>
            <w:tcW w:w="1181" w:type="dxa"/>
            <w:tcBorders>
              <w:top w:val="dotted" w:color="auto" w:sz="4" w:space="0"/>
              <w:bottom w:val="nil"/>
            </w:tcBorders>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23218.73</w:t>
            </w:r>
          </w:p>
        </w:tc>
        <w:tc>
          <w:tcPr>
            <w:tcW w:w="1181" w:type="dxa"/>
            <w:tcBorders>
              <w:top w:val="dotted" w:color="auto" w:sz="4" w:space="0"/>
              <w:bottom w:val="nil"/>
            </w:tcBorders>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w:t>
            </w:r>
          </w:p>
        </w:tc>
        <w:tc>
          <w:tcPr>
            <w:tcW w:w="958" w:type="dxa"/>
            <w:tcBorders>
              <w:top w:val="dotted" w:color="auto" w:sz="4" w:space="0"/>
              <w:bottom w:val="nil"/>
            </w:tcBorders>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22" w:type="dxa"/>
            <w:tcBorders>
              <w:top w:val="nil"/>
              <w:bottom w:val="nil"/>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hint="eastAsia" w:ascii="仿宋" w:hAnsi="仿宋" w:eastAsia="仿宋"/>
                <w:sz w:val="18"/>
                <w:szCs w:val="18"/>
              </w:rPr>
              <w:t>2</w:t>
            </w:r>
          </w:p>
        </w:tc>
        <w:tc>
          <w:tcPr>
            <w:tcW w:w="2516" w:type="dxa"/>
            <w:tcBorders>
              <w:top w:val="nil"/>
              <w:bottom w:val="nil"/>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百城千校光盘挑战赛</w:t>
            </w:r>
          </w:p>
        </w:tc>
        <w:tc>
          <w:tcPr>
            <w:tcW w:w="1181" w:type="dxa"/>
            <w:tcBorders>
              <w:top w:val="nil"/>
              <w:bottom w:val="nil"/>
            </w:tcBorders>
            <w:shd w:val="clear" w:color="auto" w:fill="F1F1F1" w:themeFill="background1" w:themeFillShade="F2"/>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457979.56</w:t>
            </w:r>
          </w:p>
        </w:tc>
        <w:tc>
          <w:tcPr>
            <w:tcW w:w="1181" w:type="dxa"/>
            <w:tcBorders>
              <w:top w:val="nil"/>
              <w:bottom w:val="nil"/>
            </w:tcBorders>
            <w:shd w:val="clear" w:color="auto" w:fill="F1F1F1" w:themeFill="background1" w:themeFillShade="F2"/>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366383.65</w:t>
            </w:r>
          </w:p>
        </w:tc>
        <w:tc>
          <w:tcPr>
            <w:tcW w:w="1181" w:type="dxa"/>
            <w:tcBorders>
              <w:top w:val="nil"/>
              <w:bottom w:val="nil"/>
            </w:tcBorders>
            <w:shd w:val="clear" w:color="auto" w:fill="F1F1F1" w:themeFill="background1" w:themeFillShade="F2"/>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91595.91</w:t>
            </w:r>
          </w:p>
        </w:tc>
        <w:tc>
          <w:tcPr>
            <w:tcW w:w="958" w:type="dxa"/>
            <w:tcBorders>
              <w:top w:val="nil"/>
              <w:bottom w:val="nil"/>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待决算</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22" w:type="dxa"/>
            <w:tcBorders>
              <w:top w:val="nil"/>
              <w:bottom w:val="nil"/>
            </w:tcBorders>
            <w:vAlign w:val="center"/>
          </w:tcPr>
          <w:p>
            <w:pPr>
              <w:snapToGrid w:val="0"/>
              <w:spacing w:before="114" w:beforeLines="30" w:after="114" w:afterLines="30"/>
              <w:jc w:val="center"/>
              <w:rPr>
                <w:rFonts w:ascii="仿宋" w:hAnsi="仿宋" w:eastAsia="仿宋"/>
                <w:sz w:val="18"/>
                <w:szCs w:val="18"/>
              </w:rPr>
            </w:pPr>
            <w:r>
              <w:rPr>
                <w:rFonts w:hint="eastAsia" w:ascii="仿宋" w:hAnsi="仿宋" w:eastAsia="仿宋"/>
                <w:sz w:val="18"/>
                <w:szCs w:val="18"/>
              </w:rPr>
              <w:t>3</w:t>
            </w:r>
          </w:p>
        </w:tc>
        <w:tc>
          <w:tcPr>
            <w:tcW w:w="2516" w:type="dxa"/>
            <w:tcBorders>
              <w:top w:val="nil"/>
              <w:bottom w:val="nil"/>
            </w:tcBorders>
            <w:vAlign w:val="center"/>
          </w:tcPr>
          <w:p>
            <w:pPr>
              <w:snapToGrid w:val="0"/>
              <w:spacing w:before="114" w:beforeLines="30" w:after="114" w:afterLines="30"/>
              <w:jc w:val="center"/>
              <w:rPr>
                <w:rFonts w:ascii="仿宋" w:hAnsi="仿宋" w:eastAsia="仿宋"/>
                <w:sz w:val="18"/>
                <w:szCs w:val="18"/>
              </w:rPr>
            </w:pPr>
            <w:r>
              <w:rPr>
                <w:rFonts w:hint="eastAsia" w:ascii="仿宋" w:hAnsi="仿宋" w:eastAsia="仿宋" w:cs="仿宋"/>
                <w:sz w:val="18"/>
                <w:szCs w:val="18"/>
              </w:rPr>
              <w:t>“美灵·光盘打卡”</w:t>
            </w:r>
            <w:r>
              <w:rPr>
                <w:rFonts w:hint="eastAsia" w:ascii="仿宋" w:hAnsi="仿宋" w:eastAsia="仿宋"/>
                <w:sz w:val="18"/>
                <w:szCs w:val="18"/>
              </w:rPr>
              <w:t>书海工程</w:t>
            </w:r>
            <w:r>
              <w:rPr>
                <w:rFonts w:ascii="仿宋" w:hAnsi="仿宋" w:eastAsia="仿宋"/>
                <w:sz w:val="18"/>
                <w:szCs w:val="18"/>
              </w:rPr>
              <w:t>图书捐赠</w:t>
            </w:r>
          </w:p>
        </w:tc>
        <w:tc>
          <w:tcPr>
            <w:tcW w:w="1181" w:type="dxa"/>
            <w:tcBorders>
              <w:top w:val="nil"/>
              <w:bottom w:val="nil"/>
            </w:tcBorders>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30000.00</w:t>
            </w:r>
          </w:p>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20万码洋</w:t>
            </w:r>
          </w:p>
        </w:tc>
        <w:tc>
          <w:tcPr>
            <w:tcW w:w="1181" w:type="dxa"/>
            <w:tcBorders>
              <w:top w:val="nil"/>
              <w:bottom w:val="nil"/>
            </w:tcBorders>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30000.00</w:t>
            </w:r>
          </w:p>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20万码洋</w:t>
            </w:r>
          </w:p>
        </w:tc>
        <w:tc>
          <w:tcPr>
            <w:tcW w:w="1181" w:type="dxa"/>
            <w:tcBorders>
              <w:top w:val="nil"/>
              <w:bottom w:val="nil"/>
            </w:tcBorders>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w:t>
            </w:r>
          </w:p>
        </w:tc>
        <w:tc>
          <w:tcPr>
            <w:tcW w:w="958" w:type="dxa"/>
            <w:tcBorders>
              <w:top w:val="nil"/>
              <w:bottom w:val="nil"/>
            </w:tcBorders>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已完成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822" w:type="dxa"/>
            <w:tcBorders>
              <w:top w:val="nil"/>
              <w:bottom w:val="dotted" w:color="auto" w:sz="4" w:space="0"/>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hint="eastAsia" w:ascii="仿宋" w:hAnsi="仿宋" w:eastAsia="仿宋"/>
                <w:sz w:val="18"/>
                <w:szCs w:val="18"/>
              </w:rPr>
              <w:t>4</w:t>
            </w:r>
          </w:p>
        </w:tc>
        <w:tc>
          <w:tcPr>
            <w:tcW w:w="2516" w:type="dxa"/>
            <w:tcBorders>
              <w:top w:val="nil"/>
              <w:bottom w:val="dotted" w:color="auto" w:sz="4" w:space="0"/>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供需信息发布推广</w:t>
            </w:r>
          </w:p>
        </w:tc>
        <w:tc>
          <w:tcPr>
            <w:tcW w:w="1181" w:type="dxa"/>
            <w:tcBorders>
              <w:top w:val="nil"/>
              <w:bottom w:val="dotted" w:color="auto" w:sz="4" w:space="0"/>
            </w:tcBorders>
            <w:shd w:val="clear" w:color="auto" w:fill="F1F1F1" w:themeFill="background1" w:themeFillShade="F2"/>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6080.00</w:t>
            </w:r>
          </w:p>
        </w:tc>
        <w:tc>
          <w:tcPr>
            <w:tcW w:w="1181" w:type="dxa"/>
            <w:tcBorders>
              <w:top w:val="nil"/>
              <w:bottom w:val="dotted" w:color="auto" w:sz="4" w:space="0"/>
            </w:tcBorders>
            <w:shd w:val="clear" w:color="auto" w:fill="F1F1F1" w:themeFill="background1" w:themeFillShade="F2"/>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6080.00</w:t>
            </w:r>
          </w:p>
        </w:tc>
        <w:tc>
          <w:tcPr>
            <w:tcW w:w="1181" w:type="dxa"/>
            <w:tcBorders>
              <w:top w:val="nil"/>
              <w:bottom w:val="dotted" w:color="auto" w:sz="4" w:space="0"/>
            </w:tcBorders>
            <w:shd w:val="clear" w:color="auto" w:fill="F1F1F1" w:themeFill="background1" w:themeFillShade="F2"/>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w:t>
            </w:r>
          </w:p>
        </w:tc>
        <w:tc>
          <w:tcPr>
            <w:tcW w:w="958" w:type="dxa"/>
            <w:tcBorders>
              <w:top w:val="nil"/>
              <w:bottom w:val="dotted" w:color="auto" w:sz="4" w:space="0"/>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r>
              <w:rPr>
                <w:rFonts w:ascii="仿宋" w:hAnsi="仿宋" w:eastAsia="仿宋"/>
                <w:sz w:val="18"/>
                <w:szCs w:val="18"/>
              </w:rPr>
              <w:t>未完成</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3338" w:type="dxa"/>
            <w:gridSpan w:val="2"/>
            <w:tcBorders>
              <w:top w:val="dotted" w:color="auto" w:sz="4" w:space="0"/>
              <w:bottom w:val="nil"/>
            </w:tcBorders>
            <w:vAlign w:val="center"/>
          </w:tcPr>
          <w:p>
            <w:pPr>
              <w:snapToGrid w:val="0"/>
              <w:spacing w:before="114" w:beforeLines="30" w:after="114" w:afterLines="30"/>
              <w:jc w:val="right"/>
              <w:rPr>
                <w:rFonts w:ascii="仿宋" w:hAnsi="仿宋" w:eastAsia="仿宋"/>
                <w:sz w:val="18"/>
                <w:szCs w:val="18"/>
              </w:rPr>
            </w:pPr>
            <w:r>
              <w:rPr>
                <w:rFonts w:ascii="仿宋" w:hAnsi="仿宋" w:eastAsia="仿宋"/>
                <w:sz w:val="18"/>
                <w:szCs w:val="18"/>
              </w:rPr>
              <w:t>款项合计</w:t>
            </w:r>
          </w:p>
        </w:tc>
        <w:tc>
          <w:tcPr>
            <w:tcW w:w="1181" w:type="dxa"/>
            <w:tcBorders>
              <w:top w:val="dotted" w:color="auto" w:sz="4" w:space="0"/>
              <w:bottom w:val="nil"/>
            </w:tcBorders>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517278.29</w:t>
            </w:r>
          </w:p>
        </w:tc>
        <w:tc>
          <w:tcPr>
            <w:tcW w:w="1181" w:type="dxa"/>
            <w:tcBorders>
              <w:top w:val="dotted" w:color="auto" w:sz="4" w:space="0"/>
              <w:bottom w:val="nil"/>
            </w:tcBorders>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425682.38</w:t>
            </w:r>
          </w:p>
        </w:tc>
        <w:tc>
          <w:tcPr>
            <w:tcW w:w="1181" w:type="dxa"/>
            <w:tcBorders>
              <w:top w:val="dotted" w:color="auto" w:sz="4" w:space="0"/>
              <w:bottom w:val="nil"/>
            </w:tcBorders>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91595.91</w:t>
            </w:r>
          </w:p>
        </w:tc>
        <w:tc>
          <w:tcPr>
            <w:tcW w:w="958" w:type="dxa"/>
            <w:tcBorders>
              <w:top w:val="dotted" w:color="auto" w:sz="4" w:space="0"/>
              <w:bottom w:val="nil"/>
            </w:tcBorders>
            <w:vAlign w:val="center"/>
          </w:tcPr>
          <w:p>
            <w:pPr>
              <w:snapToGrid w:val="0"/>
              <w:spacing w:before="114" w:beforeLines="30" w:after="114" w:afterLines="30"/>
              <w:jc w:val="center"/>
              <w:rPr>
                <w:rFonts w:ascii="仿宋" w:hAnsi="仿宋" w:eastAsia="仿宋"/>
                <w:sz w:val="18"/>
                <w:szCs w:val="18"/>
              </w:rPr>
            </w:pP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80" w:hRule="atLeast"/>
        </w:trPr>
        <w:tc>
          <w:tcPr>
            <w:tcW w:w="3338" w:type="dxa"/>
            <w:gridSpan w:val="2"/>
            <w:tcBorders>
              <w:top w:val="nil"/>
              <w:bottom w:val="single" w:color="auto" w:sz="4" w:space="0"/>
            </w:tcBorders>
            <w:shd w:val="clear" w:color="auto" w:fill="F1F1F1" w:themeFill="background1" w:themeFillShade="F2"/>
            <w:vAlign w:val="center"/>
          </w:tcPr>
          <w:p>
            <w:pPr>
              <w:snapToGrid w:val="0"/>
              <w:spacing w:before="114" w:beforeLines="30" w:after="114" w:afterLines="30"/>
              <w:jc w:val="right"/>
              <w:rPr>
                <w:rFonts w:ascii="仿宋" w:hAnsi="仿宋" w:eastAsia="仿宋"/>
                <w:sz w:val="18"/>
                <w:szCs w:val="18"/>
              </w:rPr>
            </w:pPr>
            <w:r>
              <w:rPr>
                <w:rFonts w:ascii="仿宋" w:hAnsi="仿宋" w:eastAsia="仿宋"/>
                <w:sz w:val="18"/>
                <w:szCs w:val="18"/>
              </w:rPr>
              <w:t>物资合计</w:t>
            </w:r>
          </w:p>
        </w:tc>
        <w:tc>
          <w:tcPr>
            <w:tcW w:w="1181" w:type="dxa"/>
            <w:tcBorders>
              <w:top w:val="nil"/>
              <w:bottom w:val="single" w:color="auto" w:sz="4" w:space="0"/>
            </w:tcBorders>
            <w:shd w:val="clear" w:color="auto" w:fill="F1F1F1" w:themeFill="background1" w:themeFillShade="F2"/>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20万码洋</w:t>
            </w:r>
          </w:p>
        </w:tc>
        <w:tc>
          <w:tcPr>
            <w:tcW w:w="1181" w:type="dxa"/>
            <w:tcBorders>
              <w:top w:val="nil"/>
              <w:bottom w:val="single" w:color="auto" w:sz="4" w:space="0"/>
            </w:tcBorders>
            <w:shd w:val="clear" w:color="auto" w:fill="F1F1F1" w:themeFill="background1" w:themeFillShade="F2"/>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20万码洋</w:t>
            </w:r>
          </w:p>
        </w:tc>
        <w:tc>
          <w:tcPr>
            <w:tcW w:w="1181" w:type="dxa"/>
            <w:tcBorders>
              <w:top w:val="nil"/>
              <w:bottom w:val="single" w:color="auto" w:sz="4" w:space="0"/>
            </w:tcBorders>
            <w:shd w:val="clear" w:color="auto" w:fill="F1F1F1" w:themeFill="background1" w:themeFillShade="F2"/>
            <w:vAlign w:val="center"/>
          </w:tcPr>
          <w:p>
            <w:pPr>
              <w:snapToGrid w:val="0"/>
              <w:spacing w:before="114" w:beforeLines="30" w:after="114" w:afterLines="30"/>
              <w:jc w:val="right"/>
              <w:rPr>
                <w:rFonts w:ascii="仿宋" w:hAnsi="仿宋" w:eastAsia="仿宋"/>
                <w:sz w:val="18"/>
                <w:szCs w:val="18"/>
              </w:rPr>
            </w:pPr>
            <w:r>
              <w:rPr>
                <w:rFonts w:hint="eastAsia" w:ascii="仿宋" w:hAnsi="仿宋" w:eastAsia="仿宋"/>
                <w:sz w:val="18"/>
                <w:szCs w:val="18"/>
              </w:rPr>
              <w:t>/</w:t>
            </w:r>
          </w:p>
        </w:tc>
        <w:tc>
          <w:tcPr>
            <w:tcW w:w="958" w:type="dxa"/>
            <w:tcBorders>
              <w:top w:val="nil"/>
              <w:bottom w:val="single" w:color="auto" w:sz="4" w:space="0"/>
            </w:tcBorders>
            <w:shd w:val="clear" w:color="auto" w:fill="F1F1F1" w:themeFill="background1" w:themeFillShade="F2"/>
            <w:vAlign w:val="center"/>
          </w:tcPr>
          <w:p>
            <w:pPr>
              <w:snapToGrid w:val="0"/>
              <w:spacing w:before="114" w:beforeLines="30" w:after="114" w:afterLines="30"/>
              <w:jc w:val="center"/>
              <w:rPr>
                <w:rFonts w:ascii="仿宋" w:hAnsi="仿宋" w:eastAsia="仿宋"/>
                <w:sz w:val="18"/>
                <w:szCs w:val="18"/>
              </w:rPr>
            </w:pPr>
          </w:p>
        </w:tc>
      </w:tr>
    </w:tbl>
    <w:p>
      <w:pPr>
        <w:snapToGrid w:val="0"/>
        <w:spacing w:before="285" w:beforeLines="75" w:line="360" w:lineRule="auto"/>
        <w:ind w:firstLine="480" w:firstLineChars="200"/>
        <w:rPr>
          <w:rFonts w:ascii="仿宋" w:hAnsi="仿宋" w:eastAsia="仿宋"/>
          <w:sz w:val="24"/>
          <w:szCs w:val="24"/>
        </w:rPr>
      </w:pPr>
      <w:r>
        <w:rPr>
          <w:rFonts w:hint="eastAsia" w:ascii="仿宋" w:hAnsi="仿宋" w:eastAsia="仿宋"/>
          <w:sz w:val="24"/>
          <w:szCs w:val="24"/>
        </w:rPr>
        <w:t>3、结余捐款/物资</w:t>
      </w:r>
    </w:p>
    <w:p>
      <w:pPr>
        <w:snapToGrid w:val="0"/>
        <w:spacing w:line="360" w:lineRule="auto"/>
        <w:ind w:firstLine="480" w:firstLineChars="200"/>
        <w:rPr>
          <w:rFonts w:ascii="仿宋" w:hAnsi="仿宋" w:eastAsia="仿宋"/>
          <w:sz w:val="24"/>
          <w:szCs w:val="24"/>
        </w:rPr>
      </w:pPr>
      <w:r>
        <w:rPr>
          <w:rFonts w:ascii="仿宋" w:hAnsi="仿宋" w:eastAsia="仿宋"/>
          <w:sz w:val="24"/>
          <w:szCs w:val="24"/>
        </w:rPr>
        <w:t>截至</w:t>
      </w:r>
      <w:r>
        <w:rPr>
          <w:rFonts w:hint="eastAsia" w:ascii="仿宋" w:hAnsi="仿宋" w:eastAsia="仿宋"/>
          <w:sz w:val="24"/>
          <w:szCs w:val="24"/>
        </w:rPr>
        <w:t>2021年12月31日，结余款项478,132.17元，结余物资无。</w:t>
      </w:r>
    </w:p>
    <w:p>
      <w:pPr>
        <w:snapToGrid w:val="0"/>
        <w:spacing w:before="133" w:beforeLines="35" w:line="360" w:lineRule="auto"/>
        <w:rPr>
          <w:rFonts w:ascii="华文中宋" w:hAnsi="华文中宋" w:eastAsia="华文中宋"/>
          <w:sz w:val="24"/>
          <w:szCs w:val="24"/>
        </w:rPr>
      </w:pPr>
      <w:r>
        <w:rPr>
          <w:rFonts w:hint="eastAsia" w:ascii="华文中宋" w:hAnsi="华文中宋" w:eastAsia="华文中宋"/>
          <w:sz w:val="24"/>
          <w:szCs w:val="24"/>
        </w:rPr>
        <w:t>四、2022年度工作计划</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我们将继续秉持公益慈善宗旨，进一步深化文明餐桌行动，积极开展生态文明素养教育，倡导文明健康、绿色环保的生活方式，让更多人、更多机构加入我们的行列，让光盘节约的粮食变成真正的食物送给有需要的人，着力打造提质增效的公益链闭环，为我国公益事业的发展贡献力量。</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为达成目标，我们还需进一步推动完成下列任务：</w:t>
      </w:r>
    </w:p>
    <w:p>
      <w:pPr>
        <w:pStyle w:val="16"/>
        <w:numPr>
          <w:ilvl w:val="0"/>
          <w:numId w:val="3"/>
        </w:numPr>
        <w:snapToGrid w:val="0"/>
        <w:spacing w:line="360" w:lineRule="auto"/>
        <w:ind w:firstLineChars="0"/>
        <w:rPr>
          <w:rFonts w:ascii="仿宋" w:hAnsi="仿宋" w:eastAsia="仿宋"/>
          <w:sz w:val="24"/>
          <w:szCs w:val="24"/>
        </w:rPr>
      </w:pPr>
      <w:r>
        <w:rPr>
          <w:rFonts w:hint="eastAsia" w:ascii="仿宋" w:hAnsi="仿宋" w:eastAsia="仿宋"/>
          <w:sz w:val="24"/>
          <w:szCs w:val="24"/>
        </w:rPr>
        <w:t>加强开展与本项目有关的调查研究工作，如数字化公益资产流转、志愿者公益贡献回报体现等，为光盘打卡和文明餐桌行动提供更科学的专业化的理论指导；</w:t>
      </w:r>
    </w:p>
    <w:p>
      <w:pPr>
        <w:pStyle w:val="16"/>
        <w:numPr>
          <w:ilvl w:val="0"/>
          <w:numId w:val="3"/>
        </w:numPr>
        <w:snapToGrid w:val="0"/>
        <w:spacing w:line="360" w:lineRule="auto"/>
        <w:ind w:firstLineChars="0"/>
        <w:rPr>
          <w:rFonts w:ascii="仿宋" w:hAnsi="仿宋" w:eastAsia="仿宋"/>
          <w:sz w:val="24"/>
          <w:szCs w:val="24"/>
        </w:rPr>
      </w:pPr>
      <w:r>
        <w:rPr>
          <w:rFonts w:ascii="仿宋" w:hAnsi="仿宋" w:eastAsia="仿宋"/>
          <w:sz w:val="24"/>
          <w:szCs w:val="24"/>
        </w:rPr>
        <w:t>进一步提升和完善光盘打卡平台，</w:t>
      </w:r>
      <w:r>
        <w:rPr>
          <w:rFonts w:hint="eastAsia" w:ascii="仿宋" w:hAnsi="仿宋" w:eastAsia="仿宋"/>
          <w:sz w:val="24"/>
          <w:szCs w:val="24"/>
        </w:rPr>
        <w:t>加强科技研发投入，</w:t>
      </w:r>
      <w:r>
        <w:rPr>
          <w:rFonts w:ascii="仿宋" w:hAnsi="仿宋" w:eastAsia="仿宋"/>
          <w:sz w:val="24"/>
          <w:szCs w:val="24"/>
        </w:rPr>
        <w:t>扩大规模，提高社会影响力和效益，为</w:t>
      </w:r>
      <w:r>
        <w:rPr>
          <w:rFonts w:hint="eastAsia" w:ascii="仿宋" w:hAnsi="仿宋" w:eastAsia="仿宋"/>
          <w:sz w:val="24"/>
          <w:szCs w:val="24"/>
        </w:rPr>
        <w:t>文明餐桌公益行动</w:t>
      </w:r>
      <w:r>
        <w:rPr>
          <w:rFonts w:ascii="仿宋" w:hAnsi="仿宋" w:eastAsia="仿宋"/>
          <w:sz w:val="24"/>
          <w:szCs w:val="24"/>
        </w:rPr>
        <w:t>提供强有力的实践保障；</w:t>
      </w:r>
    </w:p>
    <w:p>
      <w:pPr>
        <w:pStyle w:val="16"/>
        <w:numPr>
          <w:ilvl w:val="0"/>
          <w:numId w:val="3"/>
        </w:numPr>
        <w:snapToGrid w:val="0"/>
        <w:spacing w:line="360" w:lineRule="auto"/>
        <w:ind w:firstLineChars="0"/>
        <w:rPr>
          <w:rFonts w:ascii="仿宋" w:hAnsi="仿宋" w:eastAsia="仿宋"/>
          <w:sz w:val="24"/>
          <w:szCs w:val="24"/>
        </w:rPr>
      </w:pPr>
      <w:r>
        <w:rPr>
          <w:rFonts w:hint="eastAsia" w:ascii="仿宋" w:hAnsi="仿宋" w:eastAsia="仿宋"/>
          <w:sz w:val="24"/>
          <w:szCs w:val="24"/>
        </w:rPr>
        <w:t>认真推进、实施光盘行动专项基</w:t>
      </w:r>
      <w:r>
        <w:rPr>
          <w:rFonts w:hint="eastAsia" w:ascii="仿宋" w:hAnsi="仿宋" w:eastAsia="仿宋" w:cs="仿宋"/>
          <w:sz w:val="24"/>
          <w:szCs w:val="24"/>
        </w:rPr>
        <w:t>金</w:t>
      </w:r>
      <w:r>
        <w:rPr>
          <w:rFonts w:hint="eastAsia" w:ascii="仿宋" w:hAnsi="仿宋" w:eastAsia="仿宋"/>
          <w:sz w:val="24"/>
          <w:szCs w:val="24"/>
        </w:rPr>
        <w:t>各项</w:t>
      </w:r>
      <w:r>
        <w:rPr>
          <w:rFonts w:hint="eastAsia" w:ascii="仿宋" w:hAnsi="仿宋" w:eastAsia="仿宋" w:cs="仿宋"/>
          <w:sz w:val="24"/>
          <w:szCs w:val="24"/>
        </w:rPr>
        <w:t>公益活动，不断总结经验，</w:t>
      </w:r>
      <w:r>
        <w:rPr>
          <w:rFonts w:hint="eastAsia" w:ascii="仿宋" w:hAnsi="仿宋" w:eastAsia="仿宋"/>
          <w:sz w:val="24"/>
          <w:szCs w:val="24"/>
        </w:rPr>
        <w:t>制定与实际情况相适宜的下一阶段工作方案和计划，并争取新的公益资源和资金支持；</w:t>
      </w:r>
    </w:p>
    <w:p>
      <w:pPr>
        <w:snapToGrid w:val="0"/>
        <w:spacing w:line="360" w:lineRule="auto"/>
        <w:ind w:left="480"/>
        <w:rPr>
          <w:rFonts w:ascii="仿宋" w:hAnsi="仿宋" w:eastAsia="仿宋"/>
          <w:sz w:val="24"/>
          <w:szCs w:val="24"/>
        </w:rPr>
      </w:pPr>
      <w:r>
        <w:rPr>
          <w:rFonts w:hint="eastAsia" w:ascii="仿宋" w:hAnsi="仿宋" w:eastAsia="仿宋"/>
          <w:sz w:val="24"/>
          <w:szCs w:val="24"/>
        </w:rPr>
        <w:t>4、下一步工作重点：</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① 依托平台，持续增加项目覆盖</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光盘行动专项基金将从四个方面开展工作：面向高校学生的</w:t>
      </w:r>
      <w:r>
        <w:rPr>
          <w:rFonts w:ascii="仿宋" w:hAnsi="仿宋" w:eastAsia="仿宋"/>
          <w:sz w:val="24"/>
          <w:szCs w:val="24"/>
        </w:rPr>
        <w:t>“百城千校光盘挑战”项目、面向幼儿园及小学的“光盘行动从娃娃抓起”项目、面向餐饮行业的“千城万店零浪费计划”以及面向食品行业的“临期食品守护计划”，</w:t>
      </w:r>
      <w:r>
        <w:rPr>
          <w:rFonts w:hint="eastAsia" w:ascii="仿宋" w:hAnsi="仿宋" w:eastAsia="仿宋"/>
          <w:sz w:val="24"/>
          <w:szCs w:val="24"/>
        </w:rPr>
        <w:t>从而针对性地</w:t>
      </w:r>
      <w:r>
        <w:rPr>
          <w:rFonts w:ascii="仿宋" w:hAnsi="仿宋" w:eastAsia="仿宋"/>
          <w:sz w:val="24"/>
          <w:szCs w:val="24"/>
        </w:rPr>
        <w:t>着力解决食物浪费问题。</w:t>
      </w:r>
    </w:p>
    <w:p>
      <w:pPr>
        <w:snapToGrid w:val="0"/>
        <w:spacing w:line="360" w:lineRule="auto"/>
        <w:ind w:firstLine="480" w:firstLineChars="200"/>
        <w:rPr>
          <w:rFonts w:ascii="仿宋" w:hAnsi="仿宋" w:eastAsia="仿宋"/>
          <w:sz w:val="24"/>
          <w:szCs w:val="24"/>
        </w:rPr>
      </w:pPr>
      <w:r>
        <w:rPr>
          <w:rFonts w:ascii="仿宋" w:hAnsi="仿宋" w:eastAsia="仿宋"/>
          <w:sz w:val="24"/>
          <w:szCs w:val="24"/>
        </w:rPr>
        <w:t>光盘行动专项基金将与相关方紧密合作，</w:t>
      </w:r>
      <w:r>
        <w:rPr>
          <w:rFonts w:hint="eastAsia" w:ascii="仿宋" w:hAnsi="仿宋" w:eastAsia="仿宋"/>
          <w:sz w:val="24"/>
          <w:szCs w:val="24"/>
        </w:rPr>
        <w:t>广泛联系社会各界群体，推动项目向大中小学、企事业单位、城市社区等延伸，进一步扩大社会覆盖面，提高在校学生、青年职工、社区青少年的参与度，倡导社会各界及公众身体力行，让光盘行动、低碳生活的理念深入人心。</w:t>
      </w:r>
    </w:p>
    <w:p>
      <w:pPr>
        <w:snapToGrid w:val="0"/>
        <w:spacing w:before="95" w:beforeLines="25" w:after="190" w:afterLines="50" w:line="360" w:lineRule="auto"/>
        <w:ind w:firstLine="480" w:firstLineChars="200"/>
        <w:jc w:val="center"/>
        <w:rPr>
          <w:rFonts w:ascii="仿宋" w:hAnsi="仿宋" w:eastAsia="仿宋"/>
          <w:sz w:val="24"/>
          <w:szCs w:val="24"/>
        </w:rPr>
      </w:pPr>
      <w:r>
        <w:rPr>
          <w:rFonts w:ascii="仿宋" w:hAnsi="仿宋" w:eastAsia="仿宋"/>
          <w:sz w:val="24"/>
          <w:szCs w:val="24"/>
        </w:rPr>
        <w:drawing>
          <wp:inline distT="0" distB="0" distL="0" distR="0">
            <wp:extent cx="3216275" cy="292290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42" cstate="print"/>
                    <a:srcRect/>
                    <a:stretch>
                      <a:fillRect/>
                    </a:stretch>
                  </pic:blipFill>
                  <pic:spPr>
                    <a:xfrm>
                      <a:off x="0" y="0"/>
                      <a:ext cx="3225924" cy="2932078"/>
                    </a:xfrm>
                    <a:prstGeom prst="rect">
                      <a:avLst/>
                    </a:prstGeom>
                    <a:noFill/>
                    <a:ln w="9525">
                      <a:noFill/>
                      <a:miter lim="800000"/>
                      <a:headEnd/>
                      <a:tailEnd/>
                    </a:ln>
                    <a:effectLst/>
                  </pic:spPr>
                </pic:pic>
              </a:graphicData>
            </a:graphic>
          </wp:inline>
        </w:drawing>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② 加强研发，构建软硬件结合的综合性解决方案</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针对学校食堂、机关食堂、美食广场等集中度较高的餐饮场所，推出“软件+硬件+服务”的一揽子解决方案，包括：光盘行动热控屏、智能残食台、爱心货柜、光盘打卡识别机、大数据热力图、光盘打卡管理后台等，通过“科技输出+文化输出+公益输出”的模式，帮助餐饮场所长效杜绝餐饮浪费。</w:t>
      </w:r>
    </w:p>
    <w:p>
      <w:pPr>
        <w:snapToGrid w:val="0"/>
        <w:spacing w:after="133" w:afterLines="35" w:line="360" w:lineRule="auto"/>
        <w:rPr>
          <w:rFonts w:ascii="仿宋" w:hAnsi="仿宋" w:eastAsia="仿宋"/>
          <w:sz w:val="24"/>
          <w:szCs w:val="24"/>
        </w:rPr>
      </w:pPr>
      <w:r>
        <w:rPr>
          <w:rFonts w:ascii="仿宋" w:hAnsi="仿宋" w:eastAsia="仿宋"/>
          <w:sz w:val="24"/>
          <w:szCs w:val="24"/>
        </w:rPr>
        <w:drawing>
          <wp:inline distT="0" distB="0" distL="0" distR="0">
            <wp:extent cx="5033645" cy="27305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noChangeArrowheads="1"/>
                    </pic:cNvPicPr>
                  </pic:nvPicPr>
                  <pic:blipFill>
                    <a:blip r:embed="rId43" cstate="print"/>
                    <a:srcRect b="3112"/>
                    <a:stretch>
                      <a:fillRect/>
                    </a:stretch>
                  </pic:blipFill>
                  <pic:spPr>
                    <a:xfrm>
                      <a:off x="0" y="0"/>
                      <a:ext cx="5056628" cy="2742800"/>
                    </a:xfrm>
                    <a:prstGeom prst="rect">
                      <a:avLst/>
                    </a:prstGeom>
                    <a:noFill/>
                    <a:ln w="9525">
                      <a:noFill/>
                      <a:miter lim="800000"/>
                      <a:headEnd/>
                      <a:tailEnd/>
                    </a:ln>
                  </pic:spPr>
                </pic:pic>
              </a:graphicData>
            </a:graphic>
          </wp:inline>
        </w:drawing>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③ 着力打造“美灵·光盘打卡”公益品牌</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以光盘打卡公益活动获得的部分社会捐赠，在资助成立光盘行动专项基金的北京美灵公益基金会设立“美灵·光盘打卡专项基金”，支持共同开展相关公益活动，打造公益成效显著、有影响力的“美灵·光盘打卡”公益项目。</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④ 推出国际光盘打卡平台，为食物浪费提供中国方案</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借鉴国际知名公益项目、结合海外社交媒体特点，开发国际版的光盘打卡应用。国际版将主推通过光盘行为为世界饥饿人群送爱心餐，凸显“餐桌上的人类命运共同体”理念。项目核心理念是开源共享，在项目试点成熟后，各国枢纽型组织（联合国办事机构、政府机构、大型企业、公益组织等）可申请国际版定制版本并自主开展活动，从而做到因地制宜，充分调动各方积极性。目前，国际版光盘打卡项目得到联合国世界粮食计划署支持，并已通过各项尽职调查，可以依托于世界粮食计划署在全球八十多个国家的办公室将影响力拓展至海外。</w:t>
      </w:r>
    </w:p>
    <w:p>
      <w:pPr>
        <w:snapToGrid w:val="0"/>
        <w:spacing w:before="133" w:beforeLines="35" w:line="360" w:lineRule="auto"/>
        <w:rPr>
          <w:rFonts w:ascii="华文中宋" w:hAnsi="华文中宋" w:eastAsia="华文中宋"/>
          <w:sz w:val="24"/>
          <w:szCs w:val="24"/>
        </w:rPr>
      </w:pPr>
      <w:r>
        <w:rPr>
          <w:rFonts w:hint="eastAsia" w:ascii="华文中宋" w:hAnsi="华文中宋" w:eastAsia="华文中宋"/>
          <w:sz w:val="24"/>
          <w:szCs w:val="24"/>
        </w:rPr>
        <w:t>五、2022年度资金预算</w:t>
      </w:r>
    </w:p>
    <w:p>
      <w:pPr>
        <w:snapToGrid w:val="0"/>
        <w:spacing w:line="360" w:lineRule="auto"/>
        <w:ind w:firstLine="480" w:firstLineChars="200"/>
        <w:rPr>
          <w:rFonts w:ascii="仿宋" w:hAnsi="仿宋" w:eastAsia="仿宋"/>
          <w:sz w:val="24"/>
          <w:szCs w:val="24"/>
        </w:rPr>
      </w:pPr>
      <w:r>
        <w:rPr>
          <w:rFonts w:hint="eastAsia" w:ascii="仿宋" w:hAnsi="仿宋" w:eastAsia="仿宋"/>
          <w:sz w:val="24"/>
          <w:szCs w:val="24"/>
        </w:rPr>
        <w:t>光盘行动专项基金</w:t>
      </w:r>
      <w:r>
        <w:rPr>
          <w:rFonts w:ascii="仿宋" w:hAnsi="仿宋" w:eastAsia="仿宋"/>
          <w:sz w:val="24"/>
          <w:szCs w:val="24"/>
        </w:rPr>
        <w:t>202</w:t>
      </w:r>
      <w:r>
        <w:rPr>
          <w:rFonts w:hint="eastAsia" w:ascii="仿宋" w:hAnsi="仿宋" w:eastAsia="仿宋"/>
          <w:sz w:val="24"/>
          <w:szCs w:val="24"/>
        </w:rPr>
        <w:t>2</w:t>
      </w:r>
      <w:r>
        <w:rPr>
          <w:rFonts w:ascii="仿宋" w:hAnsi="仿宋" w:eastAsia="仿宋"/>
          <w:sz w:val="24"/>
          <w:szCs w:val="24"/>
        </w:rPr>
        <w:t>年度</w:t>
      </w:r>
      <w:r>
        <w:rPr>
          <w:rFonts w:hint="eastAsia" w:ascii="仿宋" w:hAnsi="仿宋" w:eastAsia="仿宋"/>
          <w:sz w:val="24"/>
          <w:szCs w:val="24"/>
        </w:rPr>
        <w:t>预计筹款不低于1</w:t>
      </w:r>
      <w:r>
        <w:rPr>
          <w:rFonts w:ascii="仿宋" w:hAnsi="仿宋" w:eastAsia="仿宋"/>
          <w:sz w:val="24"/>
          <w:szCs w:val="24"/>
        </w:rPr>
        <w:t>00</w:t>
      </w:r>
      <w:r>
        <w:rPr>
          <w:rFonts w:hint="eastAsia" w:ascii="仿宋" w:hAnsi="仿宋" w:eastAsia="仿宋"/>
          <w:sz w:val="24"/>
          <w:szCs w:val="24"/>
        </w:rPr>
        <w:t>0</w:t>
      </w:r>
      <w:r>
        <w:rPr>
          <w:rFonts w:ascii="仿宋" w:hAnsi="仿宋" w:eastAsia="仿宋"/>
          <w:sz w:val="24"/>
          <w:szCs w:val="24"/>
        </w:rPr>
        <w:t>万元</w:t>
      </w:r>
      <w:r>
        <w:rPr>
          <w:rFonts w:hint="eastAsia" w:ascii="仿宋" w:hAnsi="仿宋" w:eastAsia="仿宋"/>
          <w:sz w:val="24"/>
          <w:szCs w:val="24"/>
        </w:rPr>
        <w:t>；年度</w:t>
      </w:r>
      <w:r>
        <w:rPr>
          <w:rFonts w:ascii="仿宋" w:hAnsi="仿宋" w:eastAsia="仿宋"/>
          <w:sz w:val="24"/>
          <w:szCs w:val="24"/>
        </w:rPr>
        <w:t>预算为1</w:t>
      </w:r>
      <w:r>
        <w:rPr>
          <w:rFonts w:hint="eastAsia" w:ascii="仿宋" w:hAnsi="仿宋" w:eastAsia="仿宋"/>
          <w:sz w:val="24"/>
          <w:szCs w:val="24"/>
        </w:rPr>
        <w:t>000</w:t>
      </w:r>
      <w:r>
        <w:rPr>
          <w:rFonts w:ascii="仿宋" w:hAnsi="仿宋" w:eastAsia="仿宋"/>
          <w:sz w:val="24"/>
          <w:szCs w:val="24"/>
        </w:rPr>
        <w:t>万元</w:t>
      </w:r>
      <w:r>
        <w:rPr>
          <w:rFonts w:hint="eastAsia" w:ascii="仿宋" w:hAnsi="仿宋" w:eastAsia="仿宋"/>
          <w:sz w:val="24"/>
          <w:szCs w:val="24"/>
        </w:rPr>
        <w:t>（视实际情况可能增加），募捐款项主要用于以下四个方向：</w:t>
      </w:r>
    </w:p>
    <w:p>
      <w:pPr>
        <w:pStyle w:val="16"/>
        <w:numPr>
          <w:ilvl w:val="0"/>
          <w:numId w:val="4"/>
        </w:numPr>
        <w:snapToGrid w:val="0"/>
        <w:spacing w:line="360" w:lineRule="auto"/>
        <w:ind w:firstLineChars="0"/>
        <w:rPr>
          <w:rFonts w:ascii="仿宋" w:hAnsi="仿宋" w:eastAsia="仿宋"/>
          <w:sz w:val="24"/>
          <w:szCs w:val="24"/>
        </w:rPr>
      </w:pPr>
      <w:r>
        <w:rPr>
          <w:rFonts w:ascii="仿宋" w:hAnsi="仿宋" w:eastAsia="仿宋"/>
          <w:sz w:val="24"/>
          <w:szCs w:val="24"/>
        </w:rPr>
        <w:t>光盘行动宣传与倡导：约占实际筹款的45%，在全社会餐饮门店、校园食堂、企业、社区、街道等场景倡导光盘行动，开展制止餐饮浪费宣传活动；</w:t>
      </w:r>
    </w:p>
    <w:p>
      <w:pPr>
        <w:pStyle w:val="16"/>
        <w:numPr>
          <w:ilvl w:val="0"/>
          <w:numId w:val="4"/>
        </w:numPr>
        <w:snapToGrid w:val="0"/>
        <w:spacing w:line="360" w:lineRule="auto"/>
        <w:ind w:firstLineChars="0"/>
        <w:rPr>
          <w:rFonts w:ascii="仿宋" w:hAnsi="仿宋" w:eastAsia="仿宋"/>
          <w:sz w:val="24"/>
          <w:szCs w:val="24"/>
        </w:rPr>
      </w:pPr>
      <w:r>
        <w:rPr>
          <w:rFonts w:ascii="仿宋" w:hAnsi="仿宋" w:eastAsia="仿宋"/>
          <w:sz w:val="24"/>
          <w:szCs w:val="24"/>
        </w:rPr>
        <w:t>光盘行动智慧驿站：约占实际筹款的40%，通过科技赋能的形式，在各大用餐场景建设光盘行动智慧驿站，包含光盘行动文化墙、数控屏、光盘激励智能柜、残食智能回收台等制止餐饮浪费行为的硬件设备；</w:t>
      </w:r>
    </w:p>
    <w:p>
      <w:pPr>
        <w:pStyle w:val="16"/>
        <w:numPr>
          <w:ilvl w:val="0"/>
          <w:numId w:val="4"/>
        </w:numPr>
        <w:snapToGrid w:val="0"/>
        <w:spacing w:line="360" w:lineRule="auto"/>
        <w:ind w:firstLineChars="0"/>
        <w:rPr>
          <w:rFonts w:ascii="仿宋" w:hAnsi="仿宋" w:eastAsia="仿宋"/>
          <w:sz w:val="24"/>
          <w:szCs w:val="24"/>
        </w:rPr>
      </w:pPr>
      <w:r>
        <w:rPr>
          <w:rFonts w:ascii="仿宋" w:hAnsi="仿宋" w:eastAsia="仿宋"/>
          <w:sz w:val="24"/>
          <w:szCs w:val="24"/>
        </w:rPr>
        <w:t>项目执行成本：约占实际筹款的10%，包括项目人员、办公开支、差旅费、回访费用及项目执行过程中产生的其他费用；</w:t>
      </w:r>
    </w:p>
    <w:p>
      <w:pPr>
        <w:pStyle w:val="16"/>
        <w:numPr>
          <w:ilvl w:val="0"/>
          <w:numId w:val="4"/>
        </w:numPr>
        <w:snapToGrid w:val="0"/>
        <w:spacing w:line="360" w:lineRule="auto"/>
        <w:ind w:firstLineChars="0"/>
        <w:rPr>
          <w:rFonts w:ascii="仿宋" w:hAnsi="仿宋" w:eastAsia="仿宋"/>
          <w:sz w:val="24"/>
          <w:szCs w:val="24"/>
        </w:rPr>
      </w:pPr>
      <w:r>
        <w:rPr>
          <w:rFonts w:ascii="仿宋" w:hAnsi="仿宋" w:eastAsia="仿宋"/>
          <w:sz w:val="24"/>
          <w:szCs w:val="24"/>
        </w:rPr>
        <w:t>公募机构管理费：约占实际筹款的5%。</w:t>
      </w:r>
    </w:p>
    <w:p>
      <w:pPr>
        <w:snapToGrid w:val="0"/>
        <w:spacing w:line="360" w:lineRule="auto"/>
        <w:ind w:left="480"/>
        <w:rPr>
          <w:rFonts w:ascii="仿宋" w:hAnsi="仿宋" w:eastAsia="仿宋"/>
          <w:sz w:val="24"/>
          <w:szCs w:val="24"/>
        </w:rPr>
      </w:pPr>
      <w:r>
        <w:rPr>
          <w:rFonts w:ascii="仿宋" w:hAnsi="仿宋" w:eastAsia="仿宋"/>
          <w:sz w:val="24"/>
          <w:szCs w:val="24"/>
        </w:rPr>
        <w:t>明细如下：</w:t>
      </w:r>
    </w:p>
    <w:tbl>
      <w:tblPr>
        <w:tblStyle w:val="10"/>
        <w:tblW w:w="0" w:type="auto"/>
        <w:tblInd w:w="108" w:type="dxa"/>
        <w:tblBorders>
          <w:top w:val="single" w:color="auto" w:sz="4" w:space="0"/>
          <w:left w:val="none" w:color="auto" w:sz="0" w:space="0"/>
          <w:bottom w:val="single" w:color="auto" w:sz="4"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418"/>
        <w:gridCol w:w="1984"/>
        <w:gridCol w:w="1418"/>
        <w:gridCol w:w="992"/>
        <w:gridCol w:w="2517"/>
      </w:tblGrid>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418" w:type="dxa"/>
            <w:tcBorders>
              <w:top w:val="single" w:color="auto" w:sz="4" w:space="0"/>
              <w:bottom w:val="dotted" w:color="auto" w:sz="4" w:space="0"/>
            </w:tcBorders>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ascii="仿宋" w:hAnsi="仿宋" w:eastAsia="仿宋"/>
                <w:sz w:val="21"/>
                <w:szCs w:val="21"/>
              </w:rPr>
              <w:t>内容</w:t>
            </w:r>
          </w:p>
        </w:tc>
        <w:tc>
          <w:tcPr>
            <w:tcW w:w="1984" w:type="dxa"/>
            <w:tcBorders>
              <w:top w:val="single" w:color="auto" w:sz="4" w:space="0"/>
              <w:bottom w:val="dotted" w:color="auto" w:sz="4" w:space="0"/>
            </w:tcBorders>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用途</w:t>
            </w:r>
          </w:p>
        </w:tc>
        <w:tc>
          <w:tcPr>
            <w:tcW w:w="1418" w:type="dxa"/>
            <w:tcBorders>
              <w:top w:val="single" w:color="auto" w:sz="4" w:space="0"/>
              <w:bottom w:val="dotted" w:color="auto" w:sz="4" w:space="0"/>
            </w:tcBorders>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单价        数量</w:t>
            </w:r>
          </w:p>
        </w:tc>
        <w:tc>
          <w:tcPr>
            <w:tcW w:w="992" w:type="dxa"/>
            <w:tcBorders>
              <w:top w:val="single" w:color="auto" w:sz="4" w:space="0"/>
              <w:bottom w:val="dotted" w:color="auto" w:sz="4" w:space="0"/>
            </w:tcBorders>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金额    （万元）</w:t>
            </w:r>
          </w:p>
        </w:tc>
        <w:tc>
          <w:tcPr>
            <w:tcW w:w="2517" w:type="dxa"/>
            <w:tcBorders>
              <w:top w:val="single" w:color="auto" w:sz="4" w:space="0"/>
              <w:bottom w:val="dotted" w:color="auto" w:sz="4" w:space="0"/>
            </w:tcBorders>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备注</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418" w:type="dxa"/>
            <w:tcBorders>
              <w:top w:val="dotted" w:color="auto" w:sz="4" w:space="0"/>
            </w:tcBorders>
            <w:vAlign w:val="center"/>
          </w:tcPr>
          <w:p>
            <w:pPr>
              <w:snapToGrid w:val="0"/>
              <w:spacing w:before="133" w:beforeLines="35" w:after="133" w:afterLines="35"/>
              <w:jc w:val="center"/>
              <w:rPr>
                <w:rFonts w:ascii="仿宋" w:hAnsi="仿宋" w:eastAsia="仿宋"/>
                <w:sz w:val="21"/>
                <w:szCs w:val="21"/>
              </w:rPr>
            </w:pPr>
            <w:r>
              <w:rPr>
                <w:rFonts w:ascii="仿宋" w:hAnsi="仿宋" w:eastAsia="仿宋"/>
                <w:sz w:val="21"/>
                <w:szCs w:val="21"/>
              </w:rPr>
              <w:t>文化宣传</w:t>
            </w:r>
          </w:p>
        </w:tc>
        <w:tc>
          <w:tcPr>
            <w:tcW w:w="1984" w:type="dxa"/>
            <w:tcBorders>
              <w:top w:val="dotted" w:color="auto" w:sz="4" w:space="0"/>
            </w:tcBorders>
            <w:vAlign w:val="center"/>
          </w:tcPr>
          <w:p>
            <w:pPr>
              <w:snapToGrid w:val="0"/>
              <w:spacing w:before="133" w:beforeLines="35" w:after="133" w:afterLines="35"/>
              <w:jc w:val="center"/>
              <w:rPr>
                <w:rFonts w:ascii="仿宋" w:hAnsi="仿宋" w:eastAsia="仿宋"/>
                <w:sz w:val="21"/>
                <w:szCs w:val="21"/>
              </w:rPr>
            </w:pPr>
            <w:r>
              <w:rPr>
                <w:rFonts w:ascii="仿宋" w:hAnsi="仿宋" w:eastAsia="仿宋"/>
                <w:sz w:val="21"/>
                <w:szCs w:val="21"/>
              </w:rPr>
              <w:t>在全社会餐饮门店及校园食堂等倡导光盘行动</w:t>
            </w:r>
            <w:r>
              <w:rPr>
                <w:rFonts w:hint="eastAsia" w:ascii="仿宋" w:hAnsi="仿宋" w:eastAsia="仿宋"/>
                <w:sz w:val="21"/>
                <w:szCs w:val="21"/>
              </w:rPr>
              <w:t>，</w:t>
            </w:r>
            <w:r>
              <w:rPr>
                <w:rFonts w:ascii="仿宋" w:hAnsi="仿宋" w:eastAsia="仿宋"/>
                <w:sz w:val="21"/>
                <w:szCs w:val="21"/>
              </w:rPr>
              <w:t>制止餐饮浪费</w:t>
            </w:r>
          </w:p>
        </w:tc>
        <w:tc>
          <w:tcPr>
            <w:tcW w:w="1418" w:type="dxa"/>
            <w:tcBorders>
              <w:top w:val="dotted" w:color="auto" w:sz="4" w:space="0"/>
            </w:tcBorders>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50元/套</w:t>
            </w:r>
          </w:p>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9万套</w:t>
            </w:r>
          </w:p>
        </w:tc>
        <w:tc>
          <w:tcPr>
            <w:tcW w:w="992" w:type="dxa"/>
            <w:tcBorders>
              <w:top w:val="dotted" w:color="auto" w:sz="4" w:space="0"/>
            </w:tcBorders>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450</w:t>
            </w:r>
          </w:p>
        </w:tc>
        <w:tc>
          <w:tcPr>
            <w:tcW w:w="2517" w:type="dxa"/>
            <w:tcBorders>
              <w:top w:val="dotted" w:color="auto" w:sz="4" w:space="0"/>
            </w:tcBorders>
            <w:vAlign w:val="center"/>
          </w:tcPr>
          <w:p>
            <w:pPr>
              <w:snapToGrid w:val="0"/>
              <w:spacing w:before="133" w:beforeLines="35" w:after="133" w:afterLines="35"/>
              <w:rPr>
                <w:rFonts w:ascii="仿宋" w:hAnsi="仿宋" w:eastAsia="仿宋"/>
                <w:sz w:val="21"/>
                <w:szCs w:val="21"/>
              </w:rPr>
            </w:pPr>
            <w:r>
              <w:rPr>
                <w:rFonts w:ascii="仿宋" w:hAnsi="仿宋" w:eastAsia="仿宋"/>
                <w:sz w:val="21"/>
                <w:szCs w:val="21"/>
              </w:rPr>
              <w:t>每套宣传物料包含桌贴50张、海报1张，适用于用餐区域的50个宣传点位</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418" w:type="dxa"/>
            <w:vMerge w:val="restart"/>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ascii="仿宋" w:hAnsi="仿宋" w:eastAsia="仿宋"/>
                <w:sz w:val="21"/>
                <w:szCs w:val="21"/>
              </w:rPr>
              <w:t>光盘驿站</w:t>
            </w:r>
          </w:p>
        </w:tc>
        <w:tc>
          <w:tcPr>
            <w:tcW w:w="1984" w:type="dxa"/>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ascii="仿宋" w:hAnsi="仿宋" w:eastAsia="仿宋"/>
                <w:sz w:val="21"/>
                <w:szCs w:val="21"/>
              </w:rPr>
              <w:t>基础空间改造</w:t>
            </w:r>
          </w:p>
        </w:tc>
        <w:tc>
          <w:tcPr>
            <w:tcW w:w="1418" w:type="dxa"/>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5000元/套</w:t>
            </w:r>
          </w:p>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200套</w:t>
            </w:r>
          </w:p>
        </w:tc>
        <w:tc>
          <w:tcPr>
            <w:tcW w:w="992" w:type="dxa"/>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100</w:t>
            </w:r>
          </w:p>
        </w:tc>
        <w:tc>
          <w:tcPr>
            <w:tcW w:w="2517" w:type="dxa"/>
            <w:shd w:val="clear" w:color="auto" w:fill="F1F1F1" w:themeFill="background1" w:themeFillShade="F2"/>
            <w:vAlign w:val="center"/>
          </w:tcPr>
          <w:p>
            <w:pPr>
              <w:snapToGrid w:val="0"/>
              <w:spacing w:before="133" w:beforeLines="35" w:after="133" w:afterLines="35"/>
              <w:rPr>
                <w:rFonts w:ascii="仿宋" w:hAnsi="仿宋" w:eastAsia="仿宋"/>
                <w:sz w:val="21"/>
                <w:szCs w:val="21"/>
              </w:rPr>
            </w:pPr>
            <w:r>
              <w:rPr>
                <w:rFonts w:ascii="仿宋" w:hAnsi="仿宋" w:eastAsia="仿宋"/>
                <w:sz w:val="21"/>
                <w:szCs w:val="21"/>
              </w:rPr>
              <w:t>墙面粉刷、线路改造、设备安装及配送物流费用</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418" w:type="dxa"/>
            <w:vMerge w:val="continue"/>
            <w:vAlign w:val="center"/>
          </w:tcPr>
          <w:p>
            <w:pPr>
              <w:snapToGrid w:val="0"/>
              <w:spacing w:before="133" w:beforeLines="35" w:after="133" w:afterLines="35"/>
              <w:jc w:val="center"/>
              <w:rPr>
                <w:rFonts w:ascii="仿宋" w:hAnsi="仿宋" w:eastAsia="仿宋"/>
                <w:sz w:val="21"/>
                <w:szCs w:val="21"/>
              </w:rPr>
            </w:pPr>
          </w:p>
        </w:tc>
        <w:tc>
          <w:tcPr>
            <w:tcW w:w="1984" w:type="dxa"/>
            <w:vAlign w:val="center"/>
          </w:tcPr>
          <w:p>
            <w:pPr>
              <w:snapToGrid w:val="0"/>
              <w:spacing w:before="133" w:beforeLines="35" w:after="133" w:afterLines="35"/>
              <w:jc w:val="center"/>
              <w:rPr>
                <w:rFonts w:ascii="仿宋" w:hAnsi="仿宋" w:eastAsia="仿宋"/>
                <w:sz w:val="21"/>
                <w:szCs w:val="21"/>
              </w:rPr>
            </w:pPr>
            <w:r>
              <w:rPr>
                <w:rFonts w:ascii="仿宋" w:hAnsi="仿宋" w:eastAsia="仿宋"/>
                <w:sz w:val="21"/>
                <w:szCs w:val="21"/>
              </w:rPr>
              <w:t>模块化设备及维护</w:t>
            </w:r>
          </w:p>
        </w:tc>
        <w:tc>
          <w:tcPr>
            <w:tcW w:w="1418" w:type="dxa"/>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15000元/套</w:t>
            </w:r>
          </w:p>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200套</w:t>
            </w:r>
          </w:p>
        </w:tc>
        <w:tc>
          <w:tcPr>
            <w:tcW w:w="992" w:type="dxa"/>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300</w:t>
            </w:r>
          </w:p>
        </w:tc>
        <w:tc>
          <w:tcPr>
            <w:tcW w:w="2517" w:type="dxa"/>
            <w:vAlign w:val="center"/>
          </w:tcPr>
          <w:p>
            <w:pPr>
              <w:snapToGrid w:val="0"/>
              <w:spacing w:before="133" w:beforeLines="35" w:after="133" w:afterLines="35"/>
              <w:rPr>
                <w:rFonts w:ascii="仿宋" w:hAnsi="仿宋" w:eastAsia="仿宋"/>
                <w:sz w:val="21"/>
                <w:szCs w:val="21"/>
              </w:rPr>
            </w:pPr>
            <w:r>
              <w:rPr>
                <w:rFonts w:ascii="仿宋" w:hAnsi="仿宋" w:eastAsia="仿宋"/>
                <w:sz w:val="21"/>
                <w:szCs w:val="21"/>
              </w:rPr>
              <w:t>光盘行动文化墙、光盘行动数控屏、光盘激励智能柜、残食智能回收台</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418" w:type="dxa"/>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ascii="仿宋" w:hAnsi="仿宋" w:eastAsia="仿宋"/>
                <w:sz w:val="21"/>
                <w:szCs w:val="21"/>
              </w:rPr>
              <w:t>执行成本</w:t>
            </w:r>
          </w:p>
        </w:tc>
        <w:tc>
          <w:tcPr>
            <w:tcW w:w="3402" w:type="dxa"/>
            <w:gridSpan w:val="2"/>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ascii="仿宋" w:hAnsi="仿宋" w:eastAsia="仿宋"/>
                <w:sz w:val="21"/>
                <w:szCs w:val="21"/>
              </w:rPr>
              <w:t>项目落地实施</w:t>
            </w:r>
          </w:p>
        </w:tc>
        <w:tc>
          <w:tcPr>
            <w:tcW w:w="992" w:type="dxa"/>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100</w:t>
            </w:r>
          </w:p>
        </w:tc>
        <w:tc>
          <w:tcPr>
            <w:tcW w:w="2517" w:type="dxa"/>
            <w:shd w:val="clear" w:color="auto" w:fill="F1F1F1" w:themeFill="background1" w:themeFillShade="F2"/>
            <w:vAlign w:val="center"/>
          </w:tcPr>
          <w:p>
            <w:pPr>
              <w:snapToGrid w:val="0"/>
              <w:spacing w:before="133" w:beforeLines="35" w:after="133" w:afterLines="35"/>
              <w:rPr>
                <w:rFonts w:ascii="仿宋" w:hAnsi="仿宋" w:eastAsia="仿宋"/>
                <w:sz w:val="21"/>
                <w:szCs w:val="21"/>
              </w:rPr>
            </w:pPr>
            <w:r>
              <w:rPr>
                <w:rFonts w:hint="eastAsia" w:ascii="仿宋" w:hAnsi="仿宋" w:eastAsia="仿宋"/>
                <w:sz w:val="21"/>
                <w:szCs w:val="21"/>
              </w:rPr>
              <w:t>项目</w:t>
            </w:r>
            <w:r>
              <w:rPr>
                <w:rFonts w:ascii="仿宋" w:hAnsi="仿宋" w:eastAsia="仿宋"/>
                <w:sz w:val="21"/>
                <w:szCs w:val="21"/>
              </w:rPr>
              <w:t>人员工资福利、办公开支、执行项目过程中产生的差旅费等综合开支</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418" w:type="dxa"/>
            <w:vAlign w:val="center"/>
          </w:tcPr>
          <w:p>
            <w:pPr>
              <w:snapToGrid w:val="0"/>
              <w:spacing w:before="133" w:beforeLines="35" w:after="133" w:afterLines="35"/>
              <w:jc w:val="center"/>
              <w:rPr>
                <w:rFonts w:ascii="仿宋" w:hAnsi="仿宋" w:eastAsia="仿宋"/>
                <w:sz w:val="21"/>
                <w:szCs w:val="21"/>
              </w:rPr>
            </w:pPr>
            <w:r>
              <w:rPr>
                <w:rFonts w:ascii="仿宋" w:hAnsi="仿宋" w:eastAsia="仿宋"/>
                <w:sz w:val="21"/>
                <w:szCs w:val="21"/>
              </w:rPr>
              <w:t>管理费用</w:t>
            </w:r>
          </w:p>
        </w:tc>
        <w:tc>
          <w:tcPr>
            <w:tcW w:w="3402" w:type="dxa"/>
            <w:gridSpan w:val="2"/>
            <w:vAlign w:val="center"/>
          </w:tcPr>
          <w:p>
            <w:pPr>
              <w:snapToGrid w:val="0"/>
              <w:spacing w:before="133" w:beforeLines="35" w:after="133" w:afterLines="35"/>
              <w:jc w:val="center"/>
              <w:rPr>
                <w:rFonts w:ascii="仿宋" w:hAnsi="仿宋" w:eastAsia="仿宋"/>
                <w:sz w:val="21"/>
                <w:szCs w:val="21"/>
              </w:rPr>
            </w:pPr>
            <w:r>
              <w:rPr>
                <w:rFonts w:ascii="仿宋" w:hAnsi="仿宋" w:eastAsia="仿宋"/>
                <w:sz w:val="21"/>
                <w:szCs w:val="21"/>
              </w:rPr>
              <w:t>公募基金会管理费</w:t>
            </w:r>
          </w:p>
        </w:tc>
        <w:tc>
          <w:tcPr>
            <w:tcW w:w="992" w:type="dxa"/>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50</w:t>
            </w:r>
          </w:p>
        </w:tc>
        <w:tc>
          <w:tcPr>
            <w:tcW w:w="2517" w:type="dxa"/>
            <w:vAlign w:val="center"/>
          </w:tcPr>
          <w:p>
            <w:pPr>
              <w:snapToGrid w:val="0"/>
              <w:spacing w:before="133" w:beforeLines="35" w:after="133" w:afterLines="35"/>
              <w:rPr>
                <w:rFonts w:ascii="仿宋" w:hAnsi="仿宋" w:eastAsia="仿宋"/>
                <w:sz w:val="21"/>
                <w:szCs w:val="21"/>
              </w:rPr>
            </w:pPr>
            <w:r>
              <w:rPr>
                <w:rFonts w:ascii="仿宋" w:hAnsi="仿宋" w:eastAsia="仿宋"/>
                <w:sz w:val="21"/>
                <w:szCs w:val="21"/>
              </w:rPr>
              <w:t>公募基金会管理费</w:t>
            </w:r>
          </w:p>
        </w:tc>
      </w:tr>
      <w:tr>
        <w:tblPrEx>
          <w:tblBorders>
            <w:top w:val="single" w:color="auto" w:sz="4" w:space="0"/>
            <w:left w:val="none" w:color="auto" w:sz="0" w:space="0"/>
            <w:bottom w:val="single" w:color="auto" w:sz="4"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4820" w:type="dxa"/>
            <w:gridSpan w:val="3"/>
            <w:shd w:val="clear" w:color="auto" w:fill="F1F1F1" w:themeFill="background1" w:themeFillShade="F2"/>
            <w:vAlign w:val="center"/>
          </w:tcPr>
          <w:p>
            <w:pPr>
              <w:snapToGrid w:val="0"/>
              <w:spacing w:before="133" w:beforeLines="35" w:after="133" w:afterLines="35"/>
              <w:jc w:val="right"/>
              <w:rPr>
                <w:rFonts w:ascii="仿宋" w:hAnsi="仿宋" w:eastAsia="仿宋"/>
                <w:sz w:val="21"/>
                <w:szCs w:val="21"/>
              </w:rPr>
            </w:pPr>
            <w:r>
              <w:rPr>
                <w:rFonts w:ascii="仿宋" w:hAnsi="仿宋" w:eastAsia="仿宋"/>
                <w:sz w:val="21"/>
                <w:szCs w:val="21"/>
              </w:rPr>
              <w:t>合计</w:t>
            </w:r>
          </w:p>
        </w:tc>
        <w:tc>
          <w:tcPr>
            <w:tcW w:w="992" w:type="dxa"/>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r>
              <w:rPr>
                <w:rFonts w:hint="eastAsia" w:ascii="仿宋" w:hAnsi="仿宋" w:eastAsia="仿宋"/>
                <w:sz w:val="21"/>
                <w:szCs w:val="21"/>
              </w:rPr>
              <w:t>1000</w:t>
            </w:r>
          </w:p>
        </w:tc>
        <w:tc>
          <w:tcPr>
            <w:tcW w:w="2517" w:type="dxa"/>
            <w:shd w:val="clear" w:color="auto" w:fill="F1F1F1" w:themeFill="background1" w:themeFillShade="F2"/>
            <w:vAlign w:val="center"/>
          </w:tcPr>
          <w:p>
            <w:pPr>
              <w:snapToGrid w:val="0"/>
              <w:spacing w:before="133" w:beforeLines="35" w:after="133" w:afterLines="35"/>
              <w:jc w:val="center"/>
              <w:rPr>
                <w:rFonts w:ascii="仿宋" w:hAnsi="仿宋" w:eastAsia="仿宋"/>
                <w:sz w:val="21"/>
                <w:szCs w:val="21"/>
              </w:rPr>
            </w:pPr>
          </w:p>
        </w:tc>
      </w:tr>
    </w:tbl>
    <w:p>
      <w:pPr>
        <w:snapToGrid w:val="0"/>
        <w:spacing w:line="360" w:lineRule="auto"/>
        <w:rPr>
          <w:rFonts w:ascii="仿宋" w:hAnsi="仿宋" w:eastAsia="仿宋"/>
          <w:sz w:val="24"/>
          <w:szCs w:val="24"/>
        </w:rPr>
      </w:pPr>
    </w:p>
    <w:p>
      <w:pPr>
        <w:snapToGrid w:val="0"/>
        <w:spacing w:line="360" w:lineRule="auto"/>
        <w:rPr>
          <w:rFonts w:ascii="仿宋" w:hAnsi="仿宋" w:eastAsia="仿宋"/>
          <w:sz w:val="24"/>
          <w:szCs w:val="24"/>
        </w:rPr>
      </w:pPr>
    </w:p>
    <w:p>
      <w:pPr>
        <w:snapToGrid w:val="0"/>
        <w:spacing w:line="360" w:lineRule="auto"/>
        <w:rPr>
          <w:rFonts w:ascii="仿宋" w:hAnsi="仿宋" w:eastAsia="仿宋"/>
          <w:sz w:val="24"/>
          <w:szCs w:val="24"/>
        </w:rPr>
      </w:pPr>
    </w:p>
    <w:p>
      <w:pPr>
        <w:snapToGrid w:val="0"/>
        <w:spacing w:line="360" w:lineRule="auto"/>
        <w:rPr>
          <w:rFonts w:ascii="仿宋" w:hAnsi="仿宋" w:eastAsia="仿宋"/>
          <w:sz w:val="24"/>
          <w:szCs w:val="24"/>
        </w:rPr>
      </w:pPr>
    </w:p>
    <w:p>
      <w:pPr>
        <w:snapToGrid w:val="0"/>
        <w:spacing w:line="480" w:lineRule="auto"/>
        <w:jc w:val="right"/>
        <w:rPr>
          <w:rFonts w:ascii="仿宋" w:hAnsi="仿宋" w:eastAsia="仿宋"/>
          <w:sz w:val="24"/>
          <w:szCs w:val="24"/>
        </w:rPr>
      </w:pPr>
      <w:r>
        <w:rPr>
          <w:rFonts w:hint="eastAsia" w:ascii="仿宋" w:hAnsi="仿宋" w:eastAsia="仿宋"/>
          <w:sz w:val="24"/>
          <w:szCs w:val="24"/>
        </w:rPr>
        <w:t>光盘行动专项基金项目团队</w:t>
      </w:r>
    </w:p>
    <w:p>
      <w:pPr>
        <w:snapToGrid w:val="0"/>
        <w:spacing w:line="480" w:lineRule="auto"/>
        <w:jc w:val="right"/>
        <w:rPr>
          <w:rFonts w:ascii="仿宋" w:hAnsi="仿宋" w:eastAsia="仿宋"/>
          <w:sz w:val="24"/>
          <w:szCs w:val="24"/>
        </w:rPr>
      </w:pPr>
      <w:r>
        <w:rPr>
          <w:rFonts w:hint="eastAsia" w:ascii="仿宋" w:hAnsi="仿宋" w:eastAsia="仿宋"/>
          <w:sz w:val="24"/>
          <w:szCs w:val="24"/>
        </w:rPr>
        <w:t>二〇二二年一月</w:t>
      </w:r>
    </w:p>
    <w:p>
      <w:pPr>
        <w:widowControl/>
        <w:jc w:val="left"/>
        <w:rPr>
          <w:rFonts w:ascii="仿宋" w:hAnsi="仿宋" w:eastAsia="仿宋"/>
          <w:sz w:val="24"/>
          <w:szCs w:val="24"/>
        </w:rPr>
      </w:pPr>
      <w:r>
        <w:rPr>
          <w:rFonts w:ascii="仿宋" w:hAnsi="仿宋" w:eastAsia="仿宋"/>
          <w:sz w:val="24"/>
          <w:szCs w:val="24"/>
        </w:rPr>
        <w:br w:type="page"/>
      </w:r>
    </w:p>
    <w:p>
      <w:pPr>
        <w:snapToGrid w:val="0"/>
        <w:spacing w:line="360" w:lineRule="auto"/>
        <w:rPr>
          <w:rFonts w:ascii="华文中宋" w:hAnsi="华文中宋" w:eastAsia="华文中宋"/>
          <w:sz w:val="24"/>
          <w:szCs w:val="24"/>
        </w:rPr>
      </w:pPr>
      <w:r>
        <w:rPr>
          <w:rFonts w:hint="eastAsia" w:ascii="华文中宋" w:hAnsi="华文中宋" w:eastAsia="华文中宋"/>
          <w:sz w:val="24"/>
          <w:szCs w:val="24"/>
        </w:rPr>
        <w:t>附一：捐赠收入和活动支出情况</w:t>
      </w:r>
    </w:p>
    <w:p>
      <w:pPr>
        <w:snapToGrid w:val="0"/>
        <w:spacing w:line="360" w:lineRule="auto"/>
        <w:rPr>
          <w:rFonts w:ascii="仿宋" w:hAnsi="仿宋" w:eastAsia="仿宋"/>
          <w:sz w:val="21"/>
          <w:szCs w:val="21"/>
        </w:rPr>
      </w:pPr>
    </w:p>
    <w:p>
      <w:pPr>
        <w:snapToGrid w:val="0"/>
        <w:spacing w:line="360" w:lineRule="auto"/>
        <w:rPr>
          <w:rFonts w:ascii="仿宋" w:hAnsi="仿宋" w:eastAsia="仿宋"/>
          <w:b/>
          <w:sz w:val="21"/>
          <w:szCs w:val="21"/>
        </w:rPr>
      </w:pPr>
      <w:r>
        <w:rPr>
          <w:rFonts w:ascii="仿宋" w:hAnsi="仿宋" w:eastAsia="仿宋"/>
          <w:b/>
          <w:sz w:val="21"/>
          <w:szCs w:val="21"/>
        </w:rPr>
        <w:t>一、接受捐赠情况、大额捐赠收入情况</w:t>
      </w:r>
    </w:p>
    <w:tbl>
      <w:tblPr>
        <w:tblStyle w:val="11"/>
        <w:tblW w:w="0" w:type="auto"/>
        <w:tblInd w:w="0" w:type="dxa"/>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52"/>
        <w:gridCol w:w="1559"/>
        <w:gridCol w:w="1560"/>
        <w:gridCol w:w="1751"/>
      </w:tblGrid>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vMerge w:val="restart"/>
            <w:tcBorders>
              <w:top w:val="single" w:color="A5A5A5" w:themeColor="accent3" w:sz="12" w:space="0"/>
              <w:left w:val="nil"/>
              <w:bottom w:val="dotted" w:color="auto" w:sz="4" w:space="0"/>
              <w:right w:val="nil"/>
              <w:insideV w:val="nil"/>
            </w:tcBorders>
            <w:vAlign w:val="center"/>
          </w:tcPr>
          <w:p>
            <w:pPr>
              <w:snapToGrid w:val="0"/>
              <w:spacing w:before="190" w:beforeLines="50" w:after="190" w:afterLines="50" w:line="240" w:lineRule="auto"/>
              <w:jc w:val="center"/>
              <w:rPr>
                <w:rFonts w:ascii="仿宋" w:hAnsi="仿宋" w:eastAsia="仿宋"/>
                <w:b w:val="0"/>
                <w:bCs/>
                <w:color w:val="auto"/>
                <w:sz w:val="18"/>
                <w:szCs w:val="18"/>
              </w:rPr>
            </w:pPr>
            <w:r>
              <w:rPr>
                <w:rFonts w:ascii="仿宋" w:hAnsi="仿宋" w:eastAsia="仿宋"/>
                <w:b w:val="0"/>
                <w:bCs/>
                <w:color w:val="auto"/>
                <w:sz w:val="18"/>
                <w:szCs w:val="18"/>
              </w:rPr>
              <w:t>项目</w:t>
            </w:r>
          </w:p>
        </w:tc>
        <w:tc>
          <w:tcPr>
            <w:tcW w:w="3119" w:type="dxa"/>
            <w:gridSpan w:val="2"/>
            <w:tcBorders>
              <w:top w:val="single" w:color="A5A5A5" w:themeColor="accent3" w:sz="12" w:space="0"/>
              <w:left w:val="dotted" w:color="auto" w:sz="4" w:space="0"/>
              <w:bottom w:val="dotted" w:color="auto" w:sz="4" w:space="0"/>
              <w:right w:val="nil"/>
              <w:insideV w:val="nil"/>
            </w:tcBorders>
            <w:vAlign w:val="center"/>
          </w:tcPr>
          <w:p>
            <w:pPr>
              <w:snapToGrid w:val="0"/>
              <w:spacing w:before="190" w:beforeLines="50" w:after="190" w:afterLines="50" w:line="240" w:lineRule="auto"/>
              <w:jc w:val="center"/>
              <w:rPr>
                <w:rFonts w:ascii="仿宋" w:hAnsi="仿宋" w:eastAsia="仿宋"/>
                <w:b w:val="0"/>
                <w:bCs/>
                <w:color w:val="auto"/>
                <w:sz w:val="18"/>
                <w:szCs w:val="18"/>
              </w:rPr>
            </w:pPr>
            <w:r>
              <w:rPr>
                <w:rFonts w:ascii="仿宋" w:hAnsi="仿宋" w:eastAsia="仿宋"/>
                <w:b w:val="0"/>
                <w:bCs/>
                <w:color w:val="auto"/>
                <w:sz w:val="18"/>
                <w:szCs w:val="18"/>
              </w:rPr>
              <w:t>本年捐赠收入金额</w:t>
            </w:r>
          </w:p>
        </w:tc>
        <w:tc>
          <w:tcPr>
            <w:tcW w:w="1751" w:type="dxa"/>
            <w:vMerge w:val="restart"/>
            <w:tcBorders>
              <w:top w:val="single" w:color="A5A5A5" w:themeColor="accent3" w:sz="12" w:space="0"/>
              <w:left w:val="dotted" w:color="auto" w:sz="4" w:space="0"/>
              <w:bottom w:val="dotted" w:color="auto" w:sz="4" w:space="0"/>
              <w:right w:val="nil"/>
              <w:insideV w:val="nil"/>
            </w:tcBorders>
            <w:vAlign w:val="center"/>
          </w:tcPr>
          <w:p>
            <w:pPr>
              <w:snapToGrid w:val="0"/>
              <w:spacing w:before="190" w:beforeLines="50" w:after="190" w:afterLines="50" w:line="240" w:lineRule="auto"/>
              <w:jc w:val="center"/>
              <w:rPr>
                <w:rFonts w:ascii="仿宋" w:hAnsi="仿宋" w:eastAsia="仿宋"/>
                <w:b w:val="0"/>
                <w:bCs/>
                <w:color w:val="auto"/>
                <w:sz w:val="18"/>
                <w:szCs w:val="18"/>
              </w:rPr>
            </w:pPr>
            <w:r>
              <w:rPr>
                <w:rFonts w:ascii="仿宋" w:hAnsi="仿宋" w:eastAsia="仿宋"/>
                <w:b w:val="0"/>
                <w:bCs/>
                <w:color w:val="auto"/>
                <w:sz w:val="18"/>
                <w:szCs w:val="18"/>
              </w:rPr>
              <w:t>用途</w:t>
            </w:r>
          </w:p>
        </w:tc>
      </w:tr>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vMerge w:val="continue"/>
            <w:tcBorders>
              <w:top w:val="dotted" w:color="auto" w:sz="4" w:space="0"/>
              <w:left w:val="nil"/>
              <w:bottom w:val="dotted" w:color="auto" w:sz="4" w:space="0"/>
              <w:right w:val="nil"/>
              <w:insideV w:val="nil"/>
            </w:tcBorders>
            <w:shd w:val="clear" w:color="auto" w:fill="auto"/>
            <w:vAlign w:val="center"/>
          </w:tcPr>
          <w:p>
            <w:pPr>
              <w:snapToGrid w:val="0"/>
              <w:spacing w:before="190" w:beforeLines="50" w:after="190" w:afterLines="50"/>
              <w:jc w:val="center"/>
              <w:rPr>
                <w:rFonts w:ascii="仿宋" w:hAnsi="仿宋" w:eastAsia="仿宋"/>
                <w:b/>
                <w:bCs/>
                <w:color w:val="auto"/>
                <w:sz w:val="18"/>
                <w:szCs w:val="18"/>
              </w:rPr>
            </w:pPr>
          </w:p>
        </w:tc>
        <w:tc>
          <w:tcPr>
            <w:tcW w:w="1559" w:type="dxa"/>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center"/>
              <w:rPr>
                <w:rFonts w:ascii="仿宋" w:hAnsi="仿宋" w:eastAsia="仿宋"/>
                <w:color w:val="auto"/>
                <w:sz w:val="18"/>
                <w:szCs w:val="18"/>
              </w:rPr>
            </w:pPr>
            <w:r>
              <w:rPr>
                <w:rFonts w:ascii="仿宋" w:hAnsi="仿宋" w:eastAsia="仿宋"/>
                <w:color w:val="auto"/>
                <w:sz w:val="18"/>
                <w:szCs w:val="18"/>
              </w:rPr>
              <w:t>现金</w:t>
            </w:r>
          </w:p>
        </w:tc>
        <w:tc>
          <w:tcPr>
            <w:tcW w:w="1560" w:type="dxa"/>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center"/>
              <w:rPr>
                <w:rFonts w:ascii="仿宋" w:hAnsi="仿宋" w:eastAsia="仿宋"/>
                <w:color w:val="auto"/>
                <w:sz w:val="18"/>
                <w:szCs w:val="18"/>
              </w:rPr>
            </w:pPr>
            <w:r>
              <w:rPr>
                <w:rFonts w:ascii="仿宋" w:hAnsi="仿宋" w:eastAsia="仿宋"/>
                <w:color w:val="auto"/>
                <w:sz w:val="18"/>
                <w:szCs w:val="18"/>
              </w:rPr>
              <w:t>非现金</w:t>
            </w:r>
          </w:p>
        </w:tc>
        <w:tc>
          <w:tcPr>
            <w:tcW w:w="1751" w:type="dxa"/>
            <w:vMerge w:val="continue"/>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center"/>
              <w:rPr>
                <w:rFonts w:ascii="仿宋" w:hAnsi="仿宋" w:eastAsia="仿宋"/>
                <w:color w:val="auto"/>
                <w:sz w:val="18"/>
                <w:szCs w:val="18"/>
              </w:rPr>
            </w:pPr>
          </w:p>
        </w:tc>
      </w:tr>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tcBorders>
              <w:top w:val="dotted" w:color="auto" w:sz="4" w:space="0"/>
              <w:bottom w:val="dotted" w:color="auto" w:sz="4" w:space="0"/>
              <w:right w:val="dotted" w:color="auto" w:sz="4" w:space="0"/>
            </w:tcBorders>
            <w:shd w:val="clear" w:color="auto" w:fill="auto"/>
            <w:vAlign w:val="center"/>
          </w:tcPr>
          <w:p>
            <w:pPr>
              <w:snapToGrid w:val="0"/>
              <w:spacing w:before="190" w:beforeLines="50" w:after="190" w:afterLines="50"/>
              <w:rPr>
                <w:rFonts w:ascii="仿宋" w:hAnsi="仿宋" w:eastAsia="仿宋"/>
                <w:b w:val="0"/>
                <w:bCs/>
                <w:color w:val="auto"/>
                <w:sz w:val="18"/>
                <w:szCs w:val="18"/>
              </w:rPr>
            </w:pPr>
            <w:r>
              <w:rPr>
                <w:rFonts w:ascii="仿宋" w:hAnsi="仿宋" w:eastAsia="仿宋"/>
                <w:b w:val="0"/>
                <w:bCs/>
                <w:color w:val="auto"/>
                <w:sz w:val="18"/>
                <w:szCs w:val="18"/>
              </w:rPr>
              <w:t>一、本年捐赠收入</w:t>
            </w:r>
          </w:p>
        </w:tc>
        <w:tc>
          <w:tcPr>
            <w:tcW w:w="1559"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r>
              <w:rPr>
                <w:rFonts w:ascii="Trebuchet MS" w:hAnsi="Trebuchet MS" w:eastAsia="宋体" w:cs="Arial"/>
                <w:color w:val="auto"/>
                <w:sz w:val="18"/>
                <w:szCs w:val="18"/>
              </w:rPr>
              <w:t>¥</w:t>
            </w:r>
            <w:r>
              <w:rPr>
                <w:rFonts w:ascii="Trebuchet MS" w:hAnsi="Trebuchet MS" w:eastAsia="仿宋" w:cs="Arial"/>
                <w:color w:val="auto"/>
                <w:sz w:val="18"/>
                <w:szCs w:val="18"/>
              </w:rPr>
              <w:t>1,00</w:t>
            </w:r>
            <w:r>
              <w:rPr>
                <w:rFonts w:hint="eastAsia" w:ascii="Trebuchet MS" w:hAnsi="Trebuchet MS" w:eastAsia="仿宋" w:cs="Arial"/>
                <w:color w:val="auto"/>
                <w:sz w:val="18"/>
                <w:szCs w:val="18"/>
              </w:rPr>
              <w:t>4</w:t>
            </w:r>
            <w:r>
              <w:rPr>
                <w:rFonts w:ascii="Trebuchet MS" w:hAnsi="Trebuchet MS" w:eastAsia="仿宋" w:cs="Arial"/>
                <w:color w:val="auto"/>
                <w:sz w:val="18"/>
                <w:szCs w:val="18"/>
              </w:rPr>
              <w:t>,0</w:t>
            </w:r>
            <w:r>
              <w:rPr>
                <w:rFonts w:hint="eastAsia" w:ascii="Trebuchet MS" w:hAnsi="Trebuchet MS" w:eastAsia="仿宋" w:cs="Arial"/>
                <w:color w:val="auto"/>
                <w:sz w:val="18"/>
                <w:szCs w:val="18"/>
              </w:rPr>
              <w:t>15.32</w:t>
            </w:r>
          </w:p>
        </w:tc>
        <w:tc>
          <w:tcPr>
            <w:tcW w:w="156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r>
              <w:rPr>
                <w:rFonts w:ascii="Trebuchet MS" w:hAnsi="Trebuchet MS" w:eastAsia="仿宋" w:cs="Arial"/>
                <w:color w:val="auto"/>
                <w:sz w:val="18"/>
                <w:szCs w:val="18"/>
              </w:rPr>
              <w:t>200,000码洋</w:t>
            </w:r>
          </w:p>
        </w:tc>
        <w:tc>
          <w:tcPr>
            <w:tcW w:w="1751" w:type="dxa"/>
            <w:vMerge w:val="restart"/>
            <w:tcBorders>
              <w:top w:val="dotted" w:color="auto" w:sz="4" w:space="0"/>
              <w:left w:val="dotted" w:color="auto" w:sz="4" w:space="0"/>
              <w:bottom w:val="dotted" w:color="auto" w:sz="4" w:space="0"/>
            </w:tcBorders>
            <w:shd w:val="clear" w:color="auto" w:fill="auto"/>
            <w:vAlign w:val="center"/>
          </w:tcPr>
          <w:p>
            <w:pPr>
              <w:snapToGrid w:val="0"/>
              <w:spacing w:before="190" w:beforeLines="50" w:after="190" w:afterLines="50"/>
              <w:jc w:val="center"/>
              <w:rPr>
                <w:rFonts w:ascii="仿宋" w:hAnsi="仿宋" w:eastAsia="仿宋"/>
                <w:color w:val="auto"/>
                <w:sz w:val="18"/>
                <w:szCs w:val="18"/>
              </w:rPr>
            </w:pPr>
            <w:r>
              <w:rPr>
                <w:rFonts w:ascii="仿宋" w:hAnsi="仿宋" w:eastAsia="仿宋"/>
                <w:color w:val="auto"/>
                <w:sz w:val="18"/>
                <w:szCs w:val="18"/>
              </w:rPr>
              <w:t>用于光盘行动专项基金公益项目</w:t>
            </w:r>
          </w:p>
        </w:tc>
      </w:tr>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tcBorders>
              <w:top w:val="dotted" w:color="auto" w:sz="4" w:space="0"/>
              <w:left w:val="nil"/>
              <w:bottom w:val="dotted" w:color="auto" w:sz="4" w:space="0"/>
              <w:right w:val="nil"/>
              <w:insideV w:val="nil"/>
            </w:tcBorders>
            <w:shd w:val="clear" w:color="auto" w:fill="auto"/>
            <w:vAlign w:val="center"/>
          </w:tcPr>
          <w:p>
            <w:pPr>
              <w:snapToGrid w:val="0"/>
              <w:spacing w:before="190" w:beforeLines="50" w:after="190" w:afterLines="50"/>
              <w:rPr>
                <w:rFonts w:ascii="仿宋" w:hAnsi="仿宋" w:eastAsia="仿宋"/>
                <w:b w:val="0"/>
                <w:bCs/>
                <w:color w:val="auto"/>
                <w:sz w:val="18"/>
                <w:szCs w:val="18"/>
              </w:rPr>
            </w:pPr>
            <w:r>
              <w:rPr>
                <w:rFonts w:ascii="仿宋" w:hAnsi="仿宋" w:eastAsia="仿宋"/>
                <w:b w:val="0"/>
                <w:bCs/>
                <w:color w:val="auto"/>
                <w:sz w:val="18"/>
                <w:szCs w:val="18"/>
              </w:rPr>
              <w:t>（一）来自境内的捐赠</w:t>
            </w:r>
          </w:p>
        </w:tc>
        <w:tc>
          <w:tcPr>
            <w:tcW w:w="1559" w:type="dxa"/>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r>
              <w:rPr>
                <w:rFonts w:ascii="Trebuchet MS" w:hAnsi="Trebuchet MS" w:eastAsia="宋体" w:cs="Arial"/>
                <w:color w:val="auto"/>
                <w:sz w:val="18"/>
                <w:szCs w:val="18"/>
              </w:rPr>
              <w:t>¥</w:t>
            </w:r>
            <w:r>
              <w:rPr>
                <w:rFonts w:ascii="Trebuchet MS" w:hAnsi="Trebuchet MS" w:eastAsia="仿宋" w:cs="Arial"/>
                <w:color w:val="auto"/>
                <w:sz w:val="18"/>
                <w:szCs w:val="18"/>
              </w:rPr>
              <w:t>1,00</w:t>
            </w:r>
            <w:r>
              <w:rPr>
                <w:rFonts w:hint="eastAsia" w:ascii="Trebuchet MS" w:hAnsi="Trebuchet MS" w:eastAsia="仿宋" w:cs="Arial"/>
                <w:color w:val="auto"/>
                <w:sz w:val="18"/>
                <w:szCs w:val="18"/>
              </w:rPr>
              <w:t>4</w:t>
            </w:r>
            <w:r>
              <w:rPr>
                <w:rFonts w:ascii="Trebuchet MS" w:hAnsi="Trebuchet MS" w:eastAsia="仿宋" w:cs="Arial"/>
                <w:color w:val="auto"/>
                <w:sz w:val="18"/>
                <w:szCs w:val="18"/>
              </w:rPr>
              <w:t>,0</w:t>
            </w:r>
            <w:r>
              <w:rPr>
                <w:rFonts w:hint="eastAsia" w:ascii="Trebuchet MS" w:hAnsi="Trebuchet MS" w:eastAsia="仿宋" w:cs="Arial"/>
                <w:color w:val="auto"/>
                <w:sz w:val="18"/>
                <w:szCs w:val="18"/>
              </w:rPr>
              <w:t>15.32</w:t>
            </w:r>
          </w:p>
        </w:tc>
        <w:tc>
          <w:tcPr>
            <w:tcW w:w="1560" w:type="dxa"/>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r>
              <w:rPr>
                <w:rFonts w:ascii="Trebuchet MS" w:hAnsi="Trebuchet MS" w:eastAsia="仿宋" w:cs="Arial"/>
                <w:color w:val="auto"/>
                <w:sz w:val="18"/>
                <w:szCs w:val="18"/>
              </w:rPr>
              <w:t>200,000码洋</w:t>
            </w:r>
          </w:p>
        </w:tc>
        <w:tc>
          <w:tcPr>
            <w:tcW w:w="1751" w:type="dxa"/>
            <w:vMerge w:val="continue"/>
            <w:tcBorders>
              <w:top w:val="dotted" w:color="auto" w:sz="4" w:space="0"/>
              <w:left w:val="dotted" w:color="auto" w:sz="4" w:space="0"/>
              <w:bottom w:val="dotted" w:color="auto" w:sz="4" w:space="0"/>
              <w:right w:val="nil"/>
              <w:insideV w:val="nil"/>
            </w:tcBorders>
            <w:shd w:val="clear" w:color="auto" w:fill="auto"/>
          </w:tcPr>
          <w:p>
            <w:pPr>
              <w:snapToGrid w:val="0"/>
              <w:spacing w:before="190" w:beforeLines="50" w:after="190" w:afterLines="50"/>
              <w:jc w:val="center"/>
              <w:rPr>
                <w:rFonts w:ascii="仿宋" w:hAnsi="仿宋" w:eastAsia="仿宋"/>
                <w:color w:val="auto"/>
                <w:sz w:val="18"/>
                <w:szCs w:val="18"/>
              </w:rPr>
            </w:pPr>
          </w:p>
        </w:tc>
      </w:tr>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tcBorders>
              <w:top w:val="dotted" w:color="auto" w:sz="4" w:space="0"/>
              <w:bottom w:val="dotted" w:color="auto" w:sz="4" w:space="0"/>
              <w:right w:val="dotted" w:color="auto" w:sz="4" w:space="0"/>
            </w:tcBorders>
            <w:shd w:val="clear" w:color="auto" w:fill="auto"/>
            <w:vAlign w:val="center"/>
          </w:tcPr>
          <w:p>
            <w:pPr>
              <w:snapToGrid w:val="0"/>
              <w:spacing w:before="190" w:beforeLines="50" w:after="190" w:afterLines="50"/>
              <w:rPr>
                <w:rFonts w:ascii="仿宋" w:hAnsi="仿宋" w:eastAsia="仿宋"/>
                <w:b w:val="0"/>
                <w:bCs/>
                <w:color w:val="auto"/>
                <w:sz w:val="18"/>
                <w:szCs w:val="18"/>
              </w:rPr>
            </w:pPr>
            <w:r>
              <w:rPr>
                <w:rFonts w:ascii="仿宋" w:hAnsi="仿宋" w:eastAsia="仿宋"/>
                <w:b w:val="0"/>
                <w:bCs/>
                <w:color w:val="auto"/>
                <w:sz w:val="18"/>
                <w:szCs w:val="18"/>
              </w:rPr>
              <w:t>其中：来自境内自然人的捐赠</w:t>
            </w:r>
          </w:p>
        </w:tc>
        <w:tc>
          <w:tcPr>
            <w:tcW w:w="1559"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r>
              <w:rPr>
                <w:rFonts w:ascii="Trebuchet MS" w:hAnsi="Trebuchet MS" w:eastAsia="宋体" w:cs="Arial"/>
                <w:color w:val="auto"/>
                <w:sz w:val="18"/>
                <w:szCs w:val="18"/>
              </w:rPr>
              <w:t>¥</w:t>
            </w:r>
            <w:r>
              <w:rPr>
                <w:rFonts w:hint="eastAsia" w:ascii="Trebuchet MS" w:hAnsi="Trebuchet MS" w:eastAsia="仿宋" w:cs="Arial"/>
                <w:color w:val="auto"/>
                <w:sz w:val="18"/>
                <w:szCs w:val="18"/>
              </w:rPr>
              <w:t>4</w:t>
            </w:r>
            <w:r>
              <w:rPr>
                <w:rFonts w:ascii="Trebuchet MS" w:hAnsi="Trebuchet MS" w:eastAsia="仿宋" w:cs="Arial"/>
                <w:color w:val="auto"/>
                <w:sz w:val="18"/>
                <w:szCs w:val="18"/>
              </w:rPr>
              <w:t>,0</w:t>
            </w:r>
            <w:r>
              <w:rPr>
                <w:rFonts w:hint="eastAsia" w:ascii="Trebuchet MS" w:hAnsi="Trebuchet MS" w:eastAsia="仿宋" w:cs="Arial"/>
                <w:color w:val="auto"/>
                <w:sz w:val="18"/>
                <w:szCs w:val="18"/>
              </w:rPr>
              <w:t>15.32</w:t>
            </w:r>
          </w:p>
        </w:tc>
        <w:tc>
          <w:tcPr>
            <w:tcW w:w="156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p>
        </w:tc>
        <w:tc>
          <w:tcPr>
            <w:tcW w:w="1751" w:type="dxa"/>
            <w:vMerge w:val="continue"/>
            <w:tcBorders>
              <w:top w:val="dotted" w:color="auto" w:sz="4" w:space="0"/>
              <w:left w:val="dotted" w:color="auto" w:sz="4" w:space="0"/>
              <w:bottom w:val="dotted" w:color="auto" w:sz="4" w:space="0"/>
            </w:tcBorders>
            <w:shd w:val="clear" w:color="auto" w:fill="auto"/>
          </w:tcPr>
          <w:p>
            <w:pPr>
              <w:snapToGrid w:val="0"/>
              <w:spacing w:before="190" w:beforeLines="50" w:after="190" w:afterLines="50"/>
              <w:jc w:val="center"/>
              <w:rPr>
                <w:rFonts w:ascii="仿宋" w:hAnsi="仿宋" w:eastAsia="仿宋"/>
                <w:color w:val="auto"/>
                <w:sz w:val="18"/>
                <w:szCs w:val="18"/>
              </w:rPr>
            </w:pPr>
          </w:p>
        </w:tc>
      </w:tr>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tcBorders>
              <w:top w:val="dotted" w:color="auto" w:sz="4" w:space="0"/>
              <w:left w:val="nil"/>
              <w:bottom w:val="dotted" w:color="auto" w:sz="4" w:space="0"/>
              <w:right w:val="nil"/>
              <w:insideV w:val="nil"/>
            </w:tcBorders>
            <w:shd w:val="clear" w:color="auto" w:fill="auto"/>
            <w:vAlign w:val="center"/>
          </w:tcPr>
          <w:p>
            <w:pPr>
              <w:snapToGrid w:val="0"/>
              <w:spacing w:before="190" w:beforeLines="50" w:after="190" w:afterLines="50"/>
              <w:ind w:firstLine="540" w:firstLineChars="300"/>
              <w:rPr>
                <w:rFonts w:ascii="仿宋" w:hAnsi="仿宋" w:eastAsia="仿宋"/>
                <w:b w:val="0"/>
                <w:bCs/>
                <w:color w:val="auto"/>
                <w:sz w:val="18"/>
                <w:szCs w:val="18"/>
              </w:rPr>
            </w:pPr>
            <w:r>
              <w:rPr>
                <w:rFonts w:ascii="仿宋" w:hAnsi="仿宋" w:eastAsia="仿宋"/>
                <w:b w:val="0"/>
                <w:bCs/>
                <w:color w:val="auto"/>
                <w:sz w:val="18"/>
                <w:szCs w:val="18"/>
              </w:rPr>
              <w:t>来自境内法人或者其他组织的捐赠</w:t>
            </w:r>
          </w:p>
        </w:tc>
        <w:tc>
          <w:tcPr>
            <w:tcW w:w="1559" w:type="dxa"/>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r>
              <w:rPr>
                <w:rFonts w:ascii="Trebuchet MS" w:hAnsi="Trebuchet MS" w:eastAsia="宋体" w:cs="Arial"/>
                <w:color w:val="auto"/>
                <w:sz w:val="18"/>
                <w:szCs w:val="18"/>
              </w:rPr>
              <w:t>¥</w:t>
            </w:r>
            <w:r>
              <w:rPr>
                <w:rFonts w:ascii="Trebuchet MS" w:hAnsi="Trebuchet MS" w:eastAsia="仿宋" w:cs="Arial"/>
                <w:color w:val="auto"/>
                <w:sz w:val="18"/>
                <w:szCs w:val="18"/>
              </w:rPr>
              <w:t>1,000,000.00</w:t>
            </w:r>
          </w:p>
        </w:tc>
        <w:tc>
          <w:tcPr>
            <w:tcW w:w="1560" w:type="dxa"/>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r>
              <w:rPr>
                <w:rFonts w:ascii="Trebuchet MS" w:hAnsi="Trebuchet MS" w:eastAsia="仿宋" w:cs="Arial"/>
                <w:color w:val="auto"/>
                <w:sz w:val="18"/>
                <w:szCs w:val="18"/>
              </w:rPr>
              <w:t>200,000码洋</w:t>
            </w:r>
          </w:p>
        </w:tc>
        <w:tc>
          <w:tcPr>
            <w:tcW w:w="1751" w:type="dxa"/>
            <w:vMerge w:val="continue"/>
            <w:tcBorders>
              <w:top w:val="dotted" w:color="auto" w:sz="4" w:space="0"/>
              <w:left w:val="dotted" w:color="auto" w:sz="4" w:space="0"/>
              <w:bottom w:val="dotted" w:color="auto" w:sz="4" w:space="0"/>
              <w:right w:val="nil"/>
              <w:insideV w:val="nil"/>
            </w:tcBorders>
            <w:shd w:val="clear" w:color="auto" w:fill="auto"/>
          </w:tcPr>
          <w:p>
            <w:pPr>
              <w:snapToGrid w:val="0"/>
              <w:spacing w:before="190" w:beforeLines="50" w:after="190" w:afterLines="50"/>
              <w:jc w:val="center"/>
              <w:rPr>
                <w:rFonts w:ascii="仿宋" w:hAnsi="仿宋" w:eastAsia="仿宋"/>
                <w:color w:val="auto"/>
                <w:sz w:val="18"/>
                <w:szCs w:val="18"/>
              </w:rPr>
            </w:pPr>
          </w:p>
        </w:tc>
      </w:tr>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tcBorders>
              <w:top w:val="dotted" w:color="auto" w:sz="4" w:space="0"/>
              <w:bottom w:val="dotted" w:color="auto" w:sz="4" w:space="0"/>
              <w:right w:val="dotted" w:color="auto" w:sz="4" w:space="0"/>
            </w:tcBorders>
            <w:shd w:val="clear" w:color="auto" w:fill="auto"/>
            <w:vAlign w:val="center"/>
          </w:tcPr>
          <w:p>
            <w:pPr>
              <w:snapToGrid w:val="0"/>
              <w:spacing w:before="190" w:beforeLines="50" w:after="190" w:afterLines="50"/>
              <w:rPr>
                <w:rFonts w:ascii="仿宋" w:hAnsi="仿宋" w:eastAsia="仿宋"/>
                <w:b w:val="0"/>
                <w:bCs/>
                <w:color w:val="7B7B7B" w:themeColor="accent3" w:themeShade="BF"/>
                <w:sz w:val="18"/>
                <w:szCs w:val="18"/>
              </w:rPr>
            </w:pPr>
            <w:r>
              <w:rPr>
                <w:rFonts w:ascii="仿宋" w:hAnsi="仿宋" w:eastAsia="仿宋"/>
                <w:b w:val="0"/>
                <w:bCs/>
                <w:color w:val="auto"/>
                <w:sz w:val="18"/>
                <w:szCs w:val="18"/>
              </w:rPr>
              <w:t>（</w:t>
            </w:r>
            <w:r>
              <w:rPr>
                <w:rFonts w:hint="eastAsia" w:ascii="仿宋" w:hAnsi="仿宋" w:eastAsia="仿宋"/>
                <w:b w:val="0"/>
                <w:bCs/>
                <w:color w:val="auto"/>
                <w:sz w:val="18"/>
                <w:szCs w:val="18"/>
              </w:rPr>
              <w:t>二</w:t>
            </w:r>
            <w:r>
              <w:rPr>
                <w:rFonts w:ascii="仿宋" w:hAnsi="仿宋" w:eastAsia="仿宋"/>
                <w:b w:val="0"/>
                <w:bCs/>
                <w:color w:val="auto"/>
                <w:sz w:val="18"/>
                <w:szCs w:val="18"/>
              </w:rPr>
              <w:t>）来自境外的捐赠</w:t>
            </w:r>
          </w:p>
        </w:tc>
        <w:tc>
          <w:tcPr>
            <w:tcW w:w="1559"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before="190" w:beforeLines="50" w:after="190" w:afterLines="50"/>
              <w:jc w:val="right"/>
              <w:rPr>
                <w:rFonts w:ascii="Trebuchet MS" w:hAnsi="Trebuchet MS" w:eastAsia="仿宋" w:cs="Arial"/>
                <w:color w:val="7B7B7B" w:themeColor="accent3" w:themeShade="BF"/>
                <w:sz w:val="18"/>
                <w:szCs w:val="18"/>
              </w:rPr>
            </w:pPr>
          </w:p>
        </w:tc>
        <w:tc>
          <w:tcPr>
            <w:tcW w:w="156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before="190" w:beforeLines="50" w:after="190" w:afterLines="50"/>
              <w:jc w:val="right"/>
              <w:rPr>
                <w:rFonts w:ascii="Trebuchet MS" w:hAnsi="Trebuchet MS" w:eastAsia="仿宋" w:cs="Arial"/>
                <w:color w:val="7B7B7B" w:themeColor="accent3" w:themeShade="BF"/>
                <w:sz w:val="18"/>
                <w:szCs w:val="18"/>
              </w:rPr>
            </w:pPr>
          </w:p>
        </w:tc>
        <w:tc>
          <w:tcPr>
            <w:tcW w:w="1751" w:type="dxa"/>
            <w:tcBorders>
              <w:top w:val="dotted" w:color="auto" w:sz="4" w:space="0"/>
              <w:left w:val="dotted" w:color="auto" w:sz="4" w:space="0"/>
              <w:bottom w:val="dotted" w:color="auto" w:sz="4" w:space="0"/>
            </w:tcBorders>
            <w:shd w:val="clear" w:color="auto" w:fill="auto"/>
          </w:tcPr>
          <w:p>
            <w:pPr>
              <w:snapToGrid w:val="0"/>
              <w:spacing w:before="190" w:beforeLines="50" w:after="190" w:afterLines="50"/>
              <w:jc w:val="center"/>
              <w:rPr>
                <w:rFonts w:ascii="仿宋" w:hAnsi="仿宋" w:eastAsia="仿宋"/>
                <w:color w:val="7B7B7B" w:themeColor="accent3" w:themeShade="BF"/>
                <w:sz w:val="18"/>
                <w:szCs w:val="18"/>
              </w:rPr>
            </w:pPr>
          </w:p>
        </w:tc>
      </w:tr>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tcBorders>
              <w:top w:val="dotted" w:color="auto" w:sz="4" w:space="0"/>
              <w:left w:val="nil"/>
              <w:bottom w:val="dotted" w:color="auto" w:sz="4" w:space="0"/>
              <w:right w:val="nil"/>
              <w:insideV w:val="nil"/>
            </w:tcBorders>
            <w:shd w:val="clear" w:color="auto" w:fill="auto"/>
            <w:vAlign w:val="center"/>
          </w:tcPr>
          <w:p>
            <w:pPr>
              <w:snapToGrid w:val="0"/>
              <w:spacing w:before="190" w:beforeLines="50" w:after="190" w:afterLines="50"/>
              <w:rPr>
                <w:rFonts w:ascii="仿宋" w:hAnsi="仿宋" w:eastAsia="仿宋"/>
                <w:b w:val="0"/>
                <w:bCs/>
                <w:color w:val="auto"/>
                <w:sz w:val="18"/>
                <w:szCs w:val="18"/>
              </w:rPr>
            </w:pPr>
            <w:r>
              <w:rPr>
                <w:rFonts w:ascii="仿宋" w:hAnsi="仿宋" w:eastAsia="仿宋"/>
                <w:b w:val="0"/>
                <w:bCs/>
                <w:color w:val="auto"/>
                <w:sz w:val="18"/>
                <w:szCs w:val="18"/>
              </w:rPr>
              <w:t>二、接受非公益性捐赠情况</w:t>
            </w:r>
          </w:p>
          <w:p>
            <w:pPr>
              <w:snapToGrid w:val="0"/>
              <w:spacing w:before="190" w:beforeLines="50" w:after="190" w:afterLines="50"/>
              <w:rPr>
                <w:rFonts w:ascii="仿宋" w:hAnsi="仿宋" w:eastAsia="仿宋"/>
                <w:b w:val="0"/>
                <w:bCs/>
                <w:color w:val="auto"/>
                <w:sz w:val="18"/>
                <w:szCs w:val="18"/>
              </w:rPr>
            </w:pPr>
            <w:r>
              <w:rPr>
                <w:rFonts w:hint="eastAsia" w:ascii="仿宋" w:hAnsi="仿宋" w:eastAsia="仿宋"/>
                <w:b w:val="0"/>
                <w:bCs/>
                <w:color w:val="auto"/>
                <w:sz w:val="18"/>
                <w:szCs w:val="18"/>
              </w:rPr>
              <w:t>（</w:t>
            </w:r>
            <w:r>
              <w:rPr>
                <w:rFonts w:ascii="仿宋" w:hAnsi="仿宋" w:eastAsia="仿宋"/>
                <w:b w:val="0"/>
                <w:bCs/>
                <w:color w:val="auto"/>
                <w:sz w:val="18"/>
                <w:szCs w:val="18"/>
              </w:rPr>
              <w:t>对捐赠人构成利益回报条件的赠与或不 符合公益性目的的赠与</w:t>
            </w:r>
            <w:r>
              <w:rPr>
                <w:rFonts w:hint="eastAsia" w:ascii="仿宋" w:hAnsi="仿宋" w:eastAsia="仿宋"/>
                <w:b w:val="0"/>
                <w:bCs/>
                <w:color w:val="auto"/>
                <w:sz w:val="18"/>
                <w:szCs w:val="18"/>
              </w:rPr>
              <w:t>）</w:t>
            </w:r>
          </w:p>
        </w:tc>
        <w:tc>
          <w:tcPr>
            <w:tcW w:w="1559" w:type="dxa"/>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p>
        </w:tc>
        <w:tc>
          <w:tcPr>
            <w:tcW w:w="1560" w:type="dxa"/>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p>
        </w:tc>
        <w:tc>
          <w:tcPr>
            <w:tcW w:w="1751" w:type="dxa"/>
            <w:tcBorders>
              <w:top w:val="dotted" w:color="auto" w:sz="4" w:space="0"/>
              <w:left w:val="dotted" w:color="auto" w:sz="4" w:space="0"/>
              <w:bottom w:val="dotted" w:color="auto" w:sz="4" w:space="0"/>
              <w:right w:val="nil"/>
              <w:insideV w:val="nil"/>
            </w:tcBorders>
            <w:shd w:val="clear" w:color="auto" w:fill="auto"/>
          </w:tcPr>
          <w:p>
            <w:pPr>
              <w:snapToGrid w:val="0"/>
              <w:spacing w:before="190" w:beforeLines="50" w:after="190" w:afterLines="50"/>
              <w:jc w:val="center"/>
              <w:rPr>
                <w:rFonts w:ascii="仿宋" w:hAnsi="仿宋" w:eastAsia="仿宋"/>
                <w:color w:val="auto"/>
                <w:sz w:val="18"/>
                <w:szCs w:val="18"/>
              </w:rPr>
            </w:pPr>
          </w:p>
        </w:tc>
      </w:tr>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PrEx>
        <w:tc>
          <w:tcPr>
            <w:tcW w:w="3652" w:type="dxa"/>
            <w:tcBorders>
              <w:top w:val="dotted" w:color="auto" w:sz="4" w:space="0"/>
              <w:bottom w:val="dotted" w:color="auto" w:sz="4" w:space="0"/>
              <w:right w:val="dotted" w:color="auto" w:sz="4" w:space="0"/>
            </w:tcBorders>
            <w:shd w:val="clear" w:color="auto" w:fill="auto"/>
            <w:vAlign w:val="center"/>
          </w:tcPr>
          <w:p>
            <w:pPr>
              <w:snapToGrid w:val="0"/>
              <w:spacing w:before="190" w:beforeLines="50" w:after="190" w:afterLines="50"/>
              <w:rPr>
                <w:rFonts w:ascii="仿宋" w:hAnsi="仿宋" w:eastAsia="仿宋"/>
                <w:b w:val="0"/>
                <w:bCs/>
                <w:color w:val="auto"/>
                <w:sz w:val="18"/>
                <w:szCs w:val="18"/>
              </w:rPr>
            </w:pPr>
            <w:r>
              <w:rPr>
                <w:rFonts w:ascii="仿宋" w:hAnsi="仿宋" w:eastAsia="仿宋"/>
                <w:b w:val="0"/>
                <w:bCs/>
                <w:color w:val="auto"/>
                <w:sz w:val="18"/>
                <w:szCs w:val="18"/>
              </w:rPr>
              <w:t>三、大额捐赠收入情况</w:t>
            </w:r>
          </w:p>
        </w:tc>
        <w:tc>
          <w:tcPr>
            <w:tcW w:w="1559"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p>
        </w:tc>
        <w:tc>
          <w:tcPr>
            <w:tcW w:w="1560" w:type="dxa"/>
            <w:tcBorders>
              <w:top w:val="dotted" w:color="auto" w:sz="4" w:space="0"/>
              <w:left w:val="dotted" w:color="auto" w:sz="4" w:space="0"/>
              <w:bottom w:val="dotted" w:color="auto" w:sz="4" w:space="0"/>
              <w:right w:val="dotted" w:color="auto" w:sz="4" w:space="0"/>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p>
        </w:tc>
        <w:tc>
          <w:tcPr>
            <w:tcW w:w="1751" w:type="dxa"/>
            <w:tcBorders>
              <w:top w:val="dotted" w:color="auto" w:sz="4" w:space="0"/>
              <w:left w:val="dotted" w:color="auto" w:sz="4" w:space="0"/>
              <w:bottom w:val="dotted" w:color="auto" w:sz="4" w:space="0"/>
            </w:tcBorders>
            <w:shd w:val="clear" w:color="auto" w:fill="auto"/>
          </w:tcPr>
          <w:p>
            <w:pPr>
              <w:snapToGrid w:val="0"/>
              <w:spacing w:before="190" w:beforeLines="50" w:after="190" w:afterLines="50"/>
              <w:jc w:val="center"/>
              <w:rPr>
                <w:rFonts w:ascii="仿宋" w:hAnsi="仿宋" w:eastAsia="仿宋"/>
                <w:color w:val="auto"/>
                <w:sz w:val="18"/>
                <w:szCs w:val="18"/>
              </w:rPr>
            </w:pPr>
          </w:p>
        </w:tc>
      </w:tr>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tcBorders>
              <w:top w:val="dotted" w:color="auto" w:sz="4" w:space="0"/>
              <w:left w:val="nil"/>
              <w:bottom w:val="dotted" w:color="auto" w:sz="4" w:space="0"/>
              <w:right w:val="nil"/>
              <w:insideV w:val="nil"/>
            </w:tcBorders>
            <w:shd w:val="clear" w:color="auto" w:fill="auto"/>
            <w:vAlign w:val="center"/>
          </w:tcPr>
          <w:p>
            <w:pPr>
              <w:snapToGrid w:val="0"/>
              <w:spacing w:before="190" w:beforeLines="50" w:after="190" w:afterLines="50"/>
              <w:rPr>
                <w:rFonts w:ascii="仿宋" w:hAnsi="仿宋" w:eastAsia="仿宋"/>
                <w:b w:val="0"/>
                <w:bCs/>
                <w:color w:val="auto"/>
                <w:sz w:val="18"/>
                <w:szCs w:val="18"/>
              </w:rPr>
            </w:pPr>
            <w:r>
              <w:rPr>
                <w:rFonts w:hint="eastAsia" w:ascii="仿宋" w:hAnsi="仿宋" w:eastAsia="仿宋"/>
                <w:b w:val="0"/>
                <w:bCs/>
                <w:color w:val="auto"/>
                <w:sz w:val="18"/>
                <w:szCs w:val="18"/>
              </w:rPr>
              <w:t>1.北京美灵公益基金会</w:t>
            </w:r>
          </w:p>
        </w:tc>
        <w:tc>
          <w:tcPr>
            <w:tcW w:w="1559" w:type="dxa"/>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r>
              <w:rPr>
                <w:rFonts w:ascii="Trebuchet MS" w:hAnsi="Trebuchet MS" w:eastAsia="宋体" w:cs="Arial"/>
                <w:color w:val="auto"/>
                <w:sz w:val="18"/>
                <w:szCs w:val="18"/>
              </w:rPr>
              <w:t>¥</w:t>
            </w:r>
            <w:r>
              <w:rPr>
                <w:rFonts w:ascii="Trebuchet MS" w:hAnsi="Trebuchet MS" w:eastAsia="仿宋" w:cs="Arial"/>
                <w:color w:val="auto"/>
                <w:sz w:val="18"/>
                <w:szCs w:val="18"/>
              </w:rPr>
              <w:t>1,000,000.00</w:t>
            </w:r>
          </w:p>
        </w:tc>
        <w:tc>
          <w:tcPr>
            <w:tcW w:w="1560" w:type="dxa"/>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p>
        </w:tc>
        <w:tc>
          <w:tcPr>
            <w:tcW w:w="1751" w:type="dxa"/>
            <w:vMerge w:val="restart"/>
            <w:tcBorders>
              <w:top w:val="dotted" w:color="auto" w:sz="4" w:space="0"/>
              <w:left w:val="dotted" w:color="auto" w:sz="4" w:space="0"/>
              <w:bottom w:val="dotted" w:color="auto" w:sz="4" w:space="0"/>
              <w:right w:val="nil"/>
              <w:insideV w:val="nil"/>
            </w:tcBorders>
            <w:shd w:val="clear" w:color="auto" w:fill="auto"/>
            <w:vAlign w:val="center"/>
          </w:tcPr>
          <w:p>
            <w:pPr>
              <w:snapToGrid w:val="0"/>
              <w:spacing w:before="190" w:beforeLines="50" w:after="190" w:afterLines="50"/>
              <w:jc w:val="center"/>
              <w:rPr>
                <w:rFonts w:ascii="仿宋" w:hAnsi="仿宋" w:eastAsia="仿宋"/>
                <w:color w:val="auto"/>
                <w:sz w:val="18"/>
                <w:szCs w:val="18"/>
              </w:rPr>
            </w:pPr>
            <w:r>
              <w:rPr>
                <w:rFonts w:ascii="仿宋" w:hAnsi="仿宋" w:eastAsia="仿宋"/>
                <w:color w:val="auto"/>
                <w:sz w:val="18"/>
                <w:szCs w:val="18"/>
              </w:rPr>
              <w:t>用于光盘行动专项基金公益项目</w:t>
            </w:r>
          </w:p>
        </w:tc>
      </w:tr>
      <w:tr>
        <w:tblPrEx>
          <w:tblBorders>
            <w:top w:val="single" w:color="A5A5A5" w:themeColor="accent3" w:sz="8" w:space="0"/>
            <w:left w:val="none" w:color="auto" w:sz="0" w:space="0"/>
            <w:bottom w:val="single" w:color="A5A5A5" w:themeColor="accent3" w:sz="8" w:space="0"/>
            <w:right w:val="none" w:color="auto" w:sz="0" w:space="0"/>
            <w:insideH w:val="none" w:color="auto" w:sz="0" w:space="0"/>
            <w:insideV w:val="none" w:color="auto" w:sz="0" w:space="0"/>
          </w:tblBorders>
          <w:tblCellMar>
            <w:top w:w="0" w:type="dxa"/>
            <w:left w:w="108" w:type="dxa"/>
            <w:bottom w:w="0" w:type="dxa"/>
            <w:right w:w="108" w:type="dxa"/>
          </w:tblCellMar>
        </w:tblPrEx>
        <w:tc>
          <w:tcPr>
            <w:tcW w:w="3652" w:type="dxa"/>
            <w:tcBorders>
              <w:top w:val="dotted" w:color="auto" w:sz="4" w:space="0"/>
              <w:bottom w:val="single" w:color="A5A5A5" w:themeColor="accent3" w:sz="12" w:space="0"/>
              <w:right w:val="dotted" w:color="auto" w:sz="4" w:space="0"/>
            </w:tcBorders>
            <w:shd w:val="clear" w:color="auto" w:fill="auto"/>
            <w:vAlign w:val="center"/>
          </w:tcPr>
          <w:p>
            <w:pPr>
              <w:snapToGrid w:val="0"/>
              <w:spacing w:before="190" w:beforeLines="50" w:after="190" w:afterLines="50"/>
              <w:rPr>
                <w:rFonts w:ascii="仿宋" w:hAnsi="仿宋" w:eastAsia="仿宋"/>
                <w:b w:val="0"/>
                <w:bCs/>
                <w:color w:val="auto"/>
                <w:sz w:val="18"/>
                <w:szCs w:val="18"/>
              </w:rPr>
            </w:pPr>
            <w:r>
              <w:rPr>
                <w:rFonts w:hint="eastAsia" w:ascii="仿宋" w:hAnsi="仿宋" w:eastAsia="仿宋"/>
                <w:b w:val="0"/>
                <w:bCs/>
                <w:color w:val="auto"/>
                <w:sz w:val="18"/>
                <w:szCs w:val="18"/>
              </w:rPr>
              <w:t>2.中国光华科技基金会</w:t>
            </w:r>
          </w:p>
        </w:tc>
        <w:tc>
          <w:tcPr>
            <w:tcW w:w="1559" w:type="dxa"/>
            <w:tcBorders>
              <w:top w:val="dotted" w:color="auto" w:sz="4" w:space="0"/>
              <w:left w:val="dotted" w:color="auto" w:sz="4" w:space="0"/>
              <w:bottom w:val="single" w:color="A5A5A5" w:themeColor="accent3" w:sz="12" w:space="0"/>
              <w:right w:val="dotted" w:color="auto" w:sz="4" w:space="0"/>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p>
        </w:tc>
        <w:tc>
          <w:tcPr>
            <w:tcW w:w="1560" w:type="dxa"/>
            <w:tcBorders>
              <w:top w:val="dotted" w:color="auto" w:sz="4" w:space="0"/>
              <w:left w:val="dotted" w:color="auto" w:sz="4" w:space="0"/>
              <w:bottom w:val="single" w:color="A5A5A5" w:themeColor="accent3" w:sz="12" w:space="0"/>
              <w:right w:val="dotted" w:color="auto" w:sz="4" w:space="0"/>
            </w:tcBorders>
            <w:shd w:val="clear" w:color="auto" w:fill="auto"/>
            <w:vAlign w:val="center"/>
          </w:tcPr>
          <w:p>
            <w:pPr>
              <w:snapToGrid w:val="0"/>
              <w:spacing w:before="190" w:beforeLines="50" w:after="190" w:afterLines="50"/>
              <w:jc w:val="right"/>
              <w:rPr>
                <w:rFonts w:ascii="Trebuchet MS" w:hAnsi="Trebuchet MS" w:eastAsia="仿宋" w:cs="Arial"/>
                <w:color w:val="auto"/>
                <w:sz w:val="18"/>
                <w:szCs w:val="18"/>
              </w:rPr>
            </w:pPr>
            <w:r>
              <w:rPr>
                <w:rFonts w:ascii="Trebuchet MS" w:hAnsi="Trebuchet MS" w:eastAsia="仿宋" w:cs="Arial"/>
                <w:color w:val="auto"/>
                <w:sz w:val="18"/>
                <w:szCs w:val="18"/>
              </w:rPr>
              <w:t>200,000码洋</w:t>
            </w:r>
          </w:p>
        </w:tc>
        <w:tc>
          <w:tcPr>
            <w:tcW w:w="1751" w:type="dxa"/>
            <w:vMerge w:val="continue"/>
            <w:tcBorders>
              <w:top w:val="dotted" w:color="auto" w:sz="4" w:space="0"/>
              <w:left w:val="dotted" w:color="auto" w:sz="4" w:space="0"/>
              <w:bottom w:val="single" w:color="A5A5A5" w:themeColor="accent3" w:sz="12" w:space="0"/>
            </w:tcBorders>
            <w:shd w:val="clear" w:color="auto" w:fill="auto"/>
          </w:tcPr>
          <w:p>
            <w:pPr>
              <w:snapToGrid w:val="0"/>
              <w:spacing w:before="190" w:beforeLines="50" w:after="190" w:afterLines="50"/>
              <w:jc w:val="center"/>
              <w:rPr>
                <w:rFonts w:ascii="仿宋" w:hAnsi="仿宋" w:eastAsia="仿宋"/>
                <w:color w:val="auto"/>
                <w:sz w:val="18"/>
                <w:szCs w:val="18"/>
              </w:rPr>
            </w:pPr>
          </w:p>
        </w:tc>
      </w:tr>
    </w:tbl>
    <w:p>
      <w:pPr>
        <w:snapToGrid w:val="0"/>
        <w:spacing w:line="360" w:lineRule="auto"/>
        <w:rPr>
          <w:rFonts w:ascii="仿宋" w:hAnsi="仿宋" w:eastAsia="仿宋"/>
          <w:sz w:val="21"/>
          <w:szCs w:val="21"/>
        </w:rPr>
      </w:pPr>
    </w:p>
    <w:p>
      <w:pPr>
        <w:snapToGrid w:val="0"/>
        <w:spacing w:line="360" w:lineRule="auto"/>
        <w:rPr>
          <w:rFonts w:ascii="仿宋" w:hAnsi="仿宋" w:eastAsia="仿宋"/>
          <w:b/>
          <w:sz w:val="21"/>
          <w:szCs w:val="21"/>
        </w:rPr>
      </w:pPr>
      <w:r>
        <w:rPr>
          <w:rFonts w:ascii="仿宋" w:hAnsi="仿宋" w:eastAsia="仿宋"/>
          <w:b/>
          <w:sz w:val="21"/>
          <w:szCs w:val="21"/>
        </w:rPr>
        <w:t>二、公益活动支出情况</w:t>
      </w:r>
    </w:p>
    <w:tbl>
      <w:tblPr>
        <w:tblStyle w:val="11"/>
        <w:tblW w:w="0" w:type="auto"/>
        <w:tblInd w:w="0" w:type="dxa"/>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5211"/>
        <w:gridCol w:w="1655"/>
        <w:gridCol w:w="1656"/>
      </w:tblGrid>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5211" w:type="dxa"/>
            <w:vMerge w:val="restart"/>
            <w:tcBorders>
              <w:top w:val="nil"/>
              <w:left w:val="nil"/>
              <w:bottom w:val="nil"/>
              <w:right w:val="nil"/>
              <w:insideV w:val="nil"/>
            </w:tcBorders>
            <w:shd w:val="clear" w:color="auto" w:fill="auto"/>
            <w:vAlign w:val="center"/>
          </w:tcPr>
          <w:p>
            <w:pPr>
              <w:widowControl/>
              <w:snapToGrid w:val="0"/>
              <w:spacing w:before="190" w:beforeLines="50" w:after="190" w:afterLines="50" w:line="240" w:lineRule="auto"/>
              <w:jc w:val="center"/>
              <w:rPr>
                <w:rFonts w:ascii="仿宋" w:hAnsi="仿宋" w:eastAsia="仿宋"/>
                <w:b w:val="0"/>
                <w:bCs/>
                <w:color w:val="auto"/>
                <w:sz w:val="18"/>
                <w:szCs w:val="18"/>
              </w:rPr>
            </w:pPr>
            <w:r>
              <w:rPr>
                <w:rFonts w:hint="eastAsia" w:ascii="仿宋" w:hAnsi="仿宋" w:eastAsia="仿宋"/>
                <w:b w:val="0"/>
                <w:bCs/>
                <w:color w:val="auto"/>
                <w:sz w:val="18"/>
                <w:szCs w:val="18"/>
              </w:rPr>
              <w:t>项目</w:t>
            </w:r>
          </w:p>
        </w:tc>
        <w:tc>
          <w:tcPr>
            <w:tcW w:w="3311" w:type="dxa"/>
            <w:gridSpan w:val="2"/>
            <w:tcBorders>
              <w:top w:val="nil"/>
              <w:left w:val="nil"/>
              <w:bottom w:val="nil"/>
              <w:right w:val="nil"/>
              <w:insideV w:val="nil"/>
            </w:tcBorders>
            <w:shd w:val="clear" w:color="auto" w:fill="auto"/>
          </w:tcPr>
          <w:p>
            <w:pPr>
              <w:widowControl/>
              <w:snapToGrid w:val="0"/>
              <w:spacing w:before="190" w:beforeLines="50" w:after="190" w:afterLines="50" w:line="240" w:lineRule="auto"/>
              <w:jc w:val="center"/>
              <w:rPr>
                <w:rFonts w:ascii="仿宋" w:hAnsi="仿宋" w:eastAsia="仿宋"/>
                <w:b w:val="0"/>
                <w:bCs/>
                <w:color w:val="auto"/>
                <w:sz w:val="18"/>
                <w:szCs w:val="18"/>
              </w:rPr>
            </w:pPr>
            <w:r>
              <w:rPr>
                <w:rFonts w:hint="eastAsia" w:ascii="仿宋" w:hAnsi="仿宋" w:eastAsia="仿宋"/>
                <w:b w:val="0"/>
                <w:bCs/>
                <w:color w:val="auto"/>
                <w:sz w:val="18"/>
                <w:szCs w:val="18"/>
              </w:rPr>
              <w:t>数额</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5211" w:type="dxa"/>
            <w:vMerge w:val="continue"/>
            <w:tcBorders>
              <w:left w:val="nil"/>
              <w:right w:val="nil"/>
              <w:insideV w:val="nil"/>
            </w:tcBorders>
            <w:shd w:val="clear" w:color="auto" w:fill="auto"/>
          </w:tcPr>
          <w:p>
            <w:pPr>
              <w:widowControl/>
              <w:snapToGrid w:val="0"/>
              <w:spacing w:before="190" w:beforeLines="50" w:after="190" w:afterLines="50"/>
              <w:jc w:val="center"/>
              <w:rPr>
                <w:rFonts w:ascii="仿宋" w:hAnsi="仿宋" w:eastAsia="仿宋"/>
                <w:b w:val="0"/>
                <w:bCs/>
                <w:color w:val="auto"/>
                <w:sz w:val="18"/>
                <w:szCs w:val="18"/>
              </w:rPr>
            </w:pPr>
          </w:p>
        </w:tc>
        <w:tc>
          <w:tcPr>
            <w:tcW w:w="1655" w:type="dxa"/>
            <w:tcBorders>
              <w:left w:val="nil"/>
              <w:right w:val="nil"/>
              <w:insideV w:val="nil"/>
            </w:tcBorders>
            <w:shd w:val="clear" w:color="auto" w:fill="auto"/>
            <w:vAlign w:val="center"/>
          </w:tcPr>
          <w:p>
            <w:pPr>
              <w:snapToGrid w:val="0"/>
              <w:spacing w:before="190" w:beforeLines="50" w:after="190" w:afterLines="50"/>
              <w:jc w:val="center"/>
              <w:rPr>
                <w:rFonts w:ascii="仿宋" w:hAnsi="仿宋" w:eastAsia="仿宋"/>
                <w:color w:val="auto"/>
                <w:sz w:val="18"/>
                <w:szCs w:val="18"/>
              </w:rPr>
            </w:pPr>
            <w:r>
              <w:rPr>
                <w:rFonts w:ascii="仿宋" w:hAnsi="仿宋" w:eastAsia="仿宋"/>
                <w:color w:val="auto"/>
                <w:sz w:val="18"/>
                <w:szCs w:val="18"/>
              </w:rPr>
              <w:t>现金</w:t>
            </w:r>
          </w:p>
        </w:tc>
        <w:tc>
          <w:tcPr>
            <w:tcW w:w="1656" w:type="dxa"/>
            <w:tcBorders>
              <w:left w:val="nil"/>
              <w:right w:val="nil"/>
              <w:insideV w:val="nil"/>
            </w:tcBorders>
            <w:shd w:val="clear" w:color="auto" w:fill="auto"/>
            <w:vAlign w:val="center"/>
          </w:tcPr>
          <w:p>
            <w:pPr>
              <w:snapToGrid w:val="0"/>
              <w:spacing w:before="190" w:beforeLines="50" w:after="190" w:afterLines="50"/>
              <w:jc w:val="center"/>
              <w:rPr>
                <w:rFonts w:ascii="仿宋" w:hAnsi="仿宋" w:eastAsia="仿宋"/>
                <w:color w:val="auto"/>
                <w:sz w:val="18"/>
                <w:szCs w:val="18"/>
              </w:rPr>
            </w:pPr>
            <w:r>
              <w:rPr>
                <w:rFonts w:ascii="仿宋" w:hAnsi="仿宋" w:eastAsia="仿宋"/>
                <w:color w:val="auto"/>
                <w:sz w:val="18"/>
                <w:szCs w:val="18"/>
              </w:rPr>
              <w:t>非现金</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5211" w:type="dxa"/>
            <w:shd w:val="clear" w:color="auto" w:fill="auto"/>
          </w:tcPr>
          <w:p>
            <w:pPr>
              <w:widowControl/>
              <w:snapToGrid w:val="0"/>
              <w:spacing w:before="190" w:beforeLines="50" w:after="190" w:afterLines="50"/>
              <w:jc w:val="left"/>
              <w:rPr>
                <w:rFonts w:ascii="仿宋" w:hAnsi="仿宋" w:eastAsia="仿宋"/>
                <w:b w:val="0"/>
                <w:bCs/>
                <w:color w:val="auto"/>
                <w:sz w:val="18"/>
                <w:szCs w:val="18"/>
              </w:rPr>
            </w:pPr>
            <w:r>
              <w:rPr>
                <w:rFonts w:hint="eastAsia" w:ascii="仿宋" w:hAnsi="仿宋" w:eastAsia="仿宋"/>
                <w:b w:val="0"/>
                <w:bCs/>
                <w:color w:val="auto"/>
                <w:sz w:val="18"/>
                <w:szCs w:val="18"/>
              </w:rPr>
              <w:t>上年末净资产</w:t>
            </w:r>
          </w:p>
        </w:tc>
        <w:tc>
          <w:tcPr>
            <w:tcW w:w="1655" w:type="dxa"/>
            <w:shd w:val="clear" w:color="auto" w:fill="auto"/>
          </w:tcPr>
          <w:p>
            <w:pPr>
              <w:widowControl/>
              <w:snapToGrid w:val="0"/>
              <w:spacing w:before="190" w:beforeLines="50" w:after="190" w:afterLines="50"/>
              <w:jc w:val="right"/>
              <w:rPr>
                <w:rFonts w:ascii="Trebuchet MS" w:hAnsi="Trebuchet MS" w:eastAsia="仿宋"/>
                <w:color w:val="auto"/>
                <w:sz w:val="18"/>
                <w:szCs w:val="18"/>
              </w:rPr>
            </w:pPr>
            <w:r>
              <w:rPr>
                <w:rFonts w:ascii="Trebuchet MS" w:hAnsi="Trebuchet MS" w:eastAsia="宋体" w:cs="Arial"/>
                <w:color w:val="auto"/>
                <w:sz w:val="18"/>
                <w:szCs w:val="18"/>
              </w:rPr>
              <w:t>¥</w:t>
            </w:r>
            <w:r>
              <w:rPr>
                <w:rFonts w:ascii="Trebuchet MS" w:hAnsi="Trebuchet MS" w:eastAsia="仿宋" w:cs="Arial"/>
                <w:color w:val="auto"/>
                <w:sz w:val="18"/>
                <w:szCs w:val="18"/>
              </w:rPr>
              <w:t>0.00</w:t>
            </w:r>
          </w:p>
        </w:tc>
        <w:tc>
          <w:tcPr>
            <w:tcW w:w="1656" w:type="dxa"/>
            <w:shd w:val="clear" w:color="auto" w:fill="auto"/>
          </w:tcPr>
          <w:p>
            <w:pPr>
              <w:widowControl/>
              <w:snapToGrid w:val="0"/>
              <w:spacing w:before="190" w:beforeLines="50" w:after="190" w:afterLines="50"/>
              <w:jc w:val="right"/>
              <w:rPr>
                <w:rFonts w:ascii="Trebuchet MS" w:hAnsi="Trebuchet MS" w:eastAsia="仿宋"/>
                <w:color w:val="auto"/>
                <w:sz w:val="18"/>
                <w:szCs w:val="18"/>
              </w:rPr>
            </w:pPr>
            <w:r>
              <w:rPr>
                <w:rFonts w:ascii="Trebuchet MS" w:hAnsi="Trebuchet MS" w:eastAsia="仿宋"/>
                <w:color w:val="auto"/>
                <w:sz w:val="18"/>
                <w:szCs w:val="18"/>
              </w:rPr>
              <w:t>/</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5211" w:type="dxa"/>
            <w:tcBorders>
              <w:left w:val="nil"/>
              <w:right w:val="nil"/>
              <w:insideV w:val="nil"/>
            </w:tcBorders>
            <w:shd w:val="clear" w:color="auto" w:fill="auto"/>
          </w:tcPr>
          <w:p>
            <w:pPr>
              <w:widowControl/>
              <w:snapToGrid w:val="0"/>
              <w:spacing w:before="190" w:beforeLines="50" w:after="190" w:afterLines="50"/>
              <w:jc w:val="left"/>
              <w:rPr>
                <w:rFonts w:ascii="仿宋" w:hAnsi="仿宋" w:eastAsia="仿宋"/>
                <w:b w:val="0"/>
                <w:bCs/>
                <w:color w:val="auto"/>
                <w:sz w:val="18"/>
                <w:szCs w:val="18"/>
              </w:rPr>
            </w:pPr>
            <w:r>
              <w:rPr>
                <w:rFonts w:hint="eastAsia" w:ascii="仿宋" w:hAnsi="仿宋" w:eastAsia="仿宋"/>
                <w:b w:val="0"/>
                <w:bCs/>
                <w:color w:val="auto"/>
                <w:sz w:val="18"/>
                <w:szCs w:val="18"/>
              </w:rPr>
              <w:t>本年度总支出</w:t>
            </w:r>
          </w:p>
        </w:tc>
        <w:tc>
          <w:tcPr>
            <w:tcW w:w="1655" w:type="dxa"/>
            <w:tcBorders>
              <w:left w:val="nil"/>
              <w:right w:val="nil"/>
              <w:insideV w:val="nil"/>
            </w:tcBorders>
            <w:shd w:val="clear" w:color="auto" w:fill="auto"/>
          </w:tcPr>
          <w:p>
            <w:pPr>
              <w:widowControl/>
              <w:snapToGrid w:val="0"/>
              <w:spacing w:before="190" w:beforeLines="50" w:after="190" w:afterLines="50"/>
              <w:jc w:val="right"/>
              <w:rPr>
                <w:rFonts w:ascii="Trebuchet MS" w:hAnsi="Trebuchet MS" w:eastAsia="仿宋"/>
                <w:color w:val="auto"/>
                <w:sz w:val="18"/>
                <w:szCs w:val="18"/>
              </w:rPr>
            </w:pPr>
            <w:r>
              <w:rPr>
                <w:rFonts w:ascii="Trebuchet MS" w:hAnsi="Trebuchet MS" w:eastAsia="宋体" w:cs="Arial"/>
                <w:color w:val="auto"/>
                <w:sz w:val="18"/>
                <w:szCs w:val="18"/>
              </w:rPr>
              <w:t>¥</w:t>
            </w:r>
            <w:r>
              <w:rPr>
                <w:rFonts w:ascii="Trebuchet MS" w:hAnsi="Trebuchet MS" w:eastAsia="仿宋" w:cs="Arial"/>
                <w:color w:val="auto"/>
                <w:sz w:val="18"/>
                <w:szCs w:val="18"/>
              </w:rPr>
              <w:t>425,682.38</w:t>
            </w:r>
          </w:p>
        </w:tc>
        <w:tc>
          <w:tcPr>
            <w:tcW w:w="1656" w:type="dxa"/>
            <w:tcBorders>
              <w:left w:val="nil"/>
              <w:right w:val="nil"/>
              <w:insideV w:val="nil"/>
            </w:tcBorders>
            <w:shd w:val="clear" w:color="auto" w:fill="auto"/>
          </w:tcPr>
          <w:p>
            <w:pPr>
              <w:widowControl/>
              <w:snapToGrid w:val="0"/>
              <w:spacing w:before="190" w:beforeLines="50" w:after="190" w:afterLines="50"/>
              <w:jc w:val="right"/>
              <w:rPr>
                <w:rFonts w:ascii="Trebuchet MS" w:hAnsi="Trebuchet MS" w:eastAsia="仿宋"/>
                <w:color w:val="auto"/>
                <w:sz w:val="18"/>
                <w:szCs w:val="18"/>
              </w:rPr>
            </w:pPr>
            <w:r>
              <w:rPr>
                <w:rFonts w:ascii="Trebuchet MS" w:hAnsi="Trebuchet MS" w:eastAsia="仿宋" w:cs="Arial"/>
                <w:color w:val="auto"/>
                <w:sz w:val="18"/>
                <w:szCs w:val="18"/>
              </w:rPr>
              <w:t>200,000码洋</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5211" w:type="dxa"/>
            <w:shd w:val="clear" w:color="auto" w:fill="auto"/>
          </w:tcPr>
          <w:p>
            <w:pPr>
              <w:widowControl/>
              <w:snapToGrid w:val="0"/>
              <w:spacing w:before="190" w:beforeLines="50" w:after="190" w:afterLines="50"/>
              <w:jc w:val="left"/>
              <w:rPr>
                <w:rFonts w:ascii="仿宋" w:hAnsi="仿宋" w:eastAsia="仿宋"/>
                <w:b w:val="0"/>
                <w:bCs/>
                <w:color w:val="auto"/>
                <w:sz w:val="18"/>
                <w:szCs w:val="18"/>
              </w:rPr>
            </w:pPr>
            <w:r>
              <w:rPr>
                <w:rFonts w:hint="eastAsia" w:ascii="仿宋" w:hAnsi="仿宋" w:eastAsia="仿宋"/>
                <w:b w:val="0"/>
                <w:bCs/>
                <w:color w:val="auto"/>
                <w:sz w:val="18"/>
                <w:szCs w:val="18"/>
              </w:rPr>
              <w:t>本年度用于公益活动的支出</w:t>
            </w:r>
          </w:p>
        </w:tc>
        <w:tc>
          <w:tcPr>
            <w:tcW w:w="1655" w:type="dxa"/>
            <w:shd w:val="clear" w:color="auto" w:fill="auto"/>
          </w:tcPr>
          <w:p>
            <w:pPr>
              <w:widowControl/>
              <w:snapToGrid w:val="0"/>
              <w:spacing w:before="190" w:beforeLines="50" w:after="190" w:afterLines="50"/>
              <w:jc w:val="right"/>
              <w:rPr>
                <w:rFonts w:ascii="Trebuchet MS" w:hAnsi="Trebuchet MS" w:eastAsia="仿宋"/>
                <w:color w:val="auto"/>
                <w:sz w:val="18"/>
                <w:szCs w:val="18"/>
              </w:rPr>
            </w:pPr>
            <w:r>
              <w:rPr>
                <w:rFonts w:ascii="Trebuchet MS" w:hAnsi="Trebuchet MS" w:eastAsia="宋体" w:cs="Arial"/>
                <w:color w:val="auto"/>
                <w:sz w:val="18"/>
                <w:szCs w:val="18"/>
              </w:rPr>
              <w:t>¥</w:t>
            </w:r>
            <w:r>
              <w:rPr>
                <w:rFonts w:ascii="Trebuchet MS" w:hAnsi="Trebuchet MS" w:eastAsia="仿宋" w:cs="Arial"/>
                <w:color w:val="auto"/>
                <w:sz w:val="18"/>
                <w:szCs w:val="18"/>
              </w:rPr>
              <w:t>425,682.38</w:t>
            </w:r>
          </w:p>
        </w:tc>
        <w:tc>
          <w:tcPr>
            <w:tcW w:w="1656" w:type="dxa"/>
            <w:shd w:val="clear" w:color="auto" w:fill="auto"/>
          </w:tcPr>
          <w:p>
            <w:pPr>
              <w:widowControl/>
              <w:snapToGrid w:val="0"/>
              <w:spacing w:before="190" w:beforeLines="50" w:after="190" w:afterLines="50"/>
              <w:jc w:val="right"/>
              <w:rPr>
                <w:rFonts w:ascii="Trebuchet MS" w:hAnsi="Trebuchet MS" w:eastAsia="仿宋"/>
                <w:color w:val="auto"/>
                <w:sz w:val="18"/>
                <w:szCs w:val="18"/>
              </w:rPr>
            </w:pPr>
            <w:r>
              <w:rPr>
                <w:rFonts w:ascii="Trebuchet MS" w:hAnsi="Trebuchet MS" w:eastAsia="仿宋" w:cs="Arial"/>
                <w:color w:val="auto"/>
                <w:sz w:val="18"/>
                <w:szCs w:val="18"/>
              </w:rPr>
              <w:t>200,000码洋</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5211" w:type="dxa"/>
            <w:tcBorders>
              <w:left w:val="nil"/>
              <w:right w:val="nil"/>
              <w:insideV w:val="nil"/>
            </w:tcBorders>
            <w:shd w:val="clear" w:color="auto" w:fill="auto"/>
          </w:tcPr>
          <w:p>
            <w:pPr>
              <w:widowControl/>
              <w:snapToGrid w:val="0"/>
              <w:spacing w:before="190" w:beforeLines="50" w:after="190" w:afterLines="50"/>
              <w:jc w:val="left"/>
              <w:rPr>
                <w:rFonts w:ascii="仿宋" w:hAnsi="仿宋" w:eastAsia="仿宋"/>
                <w:b w:val="0"/>
                <w:bCs/>
                <w:color w:val="auto"/>
                <w:sz w:val="18"/>
                <w:szCs w:val="18"/>
              </w:rPr>
            </w:pPr>
            <w:r>
              <w:rPr>
                <w:rFonts w:hint="eastAsia" w:ascii="仿宋" w:hAnsi="仿宋" w:eastAsia="仿宋"/>
                <w:b w:val="0"/>
                <w:bCs/>
                <w:color w:val="auto"/>
                <w:sz w:val="18"/>
                <w:szCs w:val="18"/>
              </w:rPr>
              <w:t>其他支出</w:t>
            </w:r>
          </w:p>
        </w:tc>
        <w:tc>
          <w:tcPr>
            <w:tcW w:w="1655" w:type="dxa"/>
            <w:tcBorders>
              <w:left w:val="nil"/>
              <w:right w:val="nil"/>
              <w:insideV w:val="nil"/>
            </w:tcBorders>
            <w:shd w:val="clear" w:color="auto" w:fill="auto"/>
          </w:tcPr>
          <w:p>
            <w:pPr>
              <w:widowControl/>
              <w:snapToGrid w:val="0"/>
              <w:spacing w:before="190" w:beforeLines="50" w:after="190" w:afterLines="50"/>
              <w:jc w:val="right"/>
              <w:rPr>
                <w:rFonts w:ascii="Trebuchet MS" w:hAnsi="Trebuchet MS" w:eastAsia="仿宋"/>
                <w:color w:val="auto"/>
                <w:sz w:val="18"/>
                <w:szCs w:val="18"/>
              </w:rPr>
            </w:pPr>
            <w:r>
              <w:rPr>
                <w:rFonts w:ascii="Trebuchet MS" w:hAnsi="Trebuchet MS" w:eastAsia="宋体" w:cs="Arial"/>
                <w:color w:val="auto"/>
                <w:sz w:val="18"/>
                <w:szCs w:val="18"/>
              </w:rPr>
              <w:t>¥</w:t>
            </w:r>
            <w:r>
              <w:rPr>
                <w:rFonts w:ascii="Trebuchet MS" w:hAnsi="Trebuchet MS" w:eastAsia="仿宋" w:cs="Arial"/>
                <w:color w:val="auto"/>
                <w:sz w:val="18"/>
                <w:szCs w:val="18"/>
              </w:rPr>
              <w:t>0.00</w:t>
            </w:r>
          </w:p>
        </w:tc>
        <w:tc>
          <w:tcPr>
            <w:tcW w:w="1656" w:type="dxa"/>
            <w:tcBorders>
              <w:left w:val="nil"/>
              <w:right w:val="nil"/>
              <w:insideV w:val="nil"/>
            </w:tcBorders>
            <w:shd w:val="clear" w:color="auto" w:fill="auto"/>
          </w:tcPr>
          <w:p>
            <w:pPr>
              <w:widowControl/>
              <w:snapToGrid w:val="0"/>
              <w:spacing w:before="190" w:beforeLines="50" w:after="190" w:afterLines="50"/>
              <w:jc w:val="right"/>
              <w:rPr>
                <w:rFonts w:ascii="Trebuchet MS" w:hAnsi="Trebuchet MS" w:eastAsia="仿宋"/>
                <w:color w:val="auto"/>
                <w:sz w:val="18"/>
                <w:szCs w:val="18"/>
              </w:rPr>
            </w:pPr>
            <w:r>
              <w:rPr>
                <w:rFonts w:ascii="Trebuchet MS" w:hAnsi="Trebuchet MS" w:eastAsia="仿宋"/>
                <w:color w:val="auto"/>
                <w:sz w:val="18"/>
                <w:szCs w:val="18"/>
              </w:rPr>
              <w:t>/</w:t>
            </w:r>
          </w:p>
        </w:tc>
      </w:tr>
    </w:tbl>
    <w:p>
      <w:pPr>
        <w:snapToGrid w:val="0"/>
        <w:spacing w:line="360" w:lineRule="auto"/>
        <w:rPr>
          <w:rFonts w:ascii="仿宋" w:hAnsi="仿宋" w:eastAsia="仿宋"/>
          <w:sz w:val="21"/>
          <w:szCs w:val="21"/>
        </w:rPr>
      </w:pPr>
    </w:p>
    <w:p>
      <w:pPr>
        <w:snapToGrid w:val="0"/>
        <w:spacing w:line="360" w:lineRule="auto"/>
        <w:rPr>
          <w:rFonts w:ascii="仿宋" w:hAnsi="仿宋" w:eastAsia="仿宋"/>
          <w:b/>
          <w:sz w:val="21"/>
          <w:szCs w:val="21"/>
        </w:rPr>
      </w:pPr>
      <w:r>
        <w:rPr>
          <w:rFonts w:ascii="仿宋" w:hAnsi="仿宋" w:eastAsia="仿宋"/>
          <w:b/>
          <w:sz w:val="21"/>
          <w:szCs w:val="21"/>
        </w:rPr>
        <w:t>三、重大公益项目收支明细表</w:t>
      </w:r>
    </w:p>
    <w:tbl>
      <w:tblPr>
        <w:tblStyle w:val="11"/>
        <w:tblW w:w="0" w:type="auto"/>
        <w:tblInd w:w="0" w:type="dxa"/>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144"/>
        <w:gridCol w:w="382"/>
        <w:gridCol w:w="1134"/>
        <w:gridCol w:w="1134"/>
        <w:gridCol w:w="992"/>
        <w:gridCol w:w="1134"/>
        <w:gridCol w:w="415"/>
        <w:gridCol w:w="1093"/>
        <w:gridCol w:w="1094"/>
      </w:tblGrid>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44" w:type="dxa"/>
            <w:vMerge w:val="restart"/>
            <w:tcBorders>
              <w:top w:val="nil"/>
              <w:left w:val="nil"/>
              <w:bottom w:val="nil"/>
              <w:right w:val="nil"/>
              <w:insideV w:val="nil"/>
            </w:tcBorders>
            <w:shd w:val="clear" w:color="auto" w:fill="auto"/>
            <w:vAlign w:val="center"/>
          </w:tcPr>
          <w:p>
            <w:pPr>
              <w:widowControl/>
              <w:snapToGrid w:val="0"/>
              <w:spacing w:before="190" w:beforeLines="50" w:after="190" w:afterLines="50" w:line="240" w:lineRule="auto"/>
              <w:jc w:val="center"/>
              <w:rPr>
                <w:rFonts w:ascii="仿宋" w:hAnsi="仿宋" w:eastAsia="仿宋"/>
                <w:b w:val="0"/>
                <w:bCs/>
                <w:color w:val="auto"/>
                <w:sz w:val="18"/>
                <w:szCs w:val="18"/>
              </w:rPr>
            </w:pPr>
            <w:r>
              <w:rPr>
                <w:rFonts w:hint="eastAsia" w:ascii="仿宋" w:hAnsi="仿宋" w:eastAsia="仿宋"/>
                <w:b w:val="0"/>
                <w:bCs/>
                <w:color w:val="auto"/>
                <w:sz w:val="18"/>
                <w:szCs w:val="18"/>
              </w:rPr>
              <w:t>项目</w:t>
            </w:r>
          </w:p>
        </w:tc>
        <w:tc>
          <w:tcPr>
            <w:tcW w:w="382" w:type="dxa"/>
            <w:vMerge w:val="restart"/>
            <w:tcBorders>
              <w:top w:val="nil"/>
              <w:left w:val="nil"/>
              <w:bottom w:val="nil"/>
              <w:right w:val="nil"/>
              <w:insideV w:val="nil"/>
            </w:tcBorders>
            <w:shd w:val="clear" w:color="auto" w:fill="auto"/>
            <w:vAlign w:val="center"/>
          </w:tcPr>
          <w:p>
            <w:pPr>
              <w:widowControl/>
              <w:snapToGrid w:val="0"/>
              <w:spacing w:before="190" w:beforeLines="50" w:after="190" w:afterLines="50" w:line="240" w:lineRule="auto"/>
              <w:jc w:val="center"/>
              <w:rPr>
                <w:rFonts w:ascii="仿宋" w:hAnsi="仿宋" w:eastAsia="仿宋"/>
                <w:b w:val="0"/>
                <w:bCs/>
                <w:color w:val="auto"/>
                <w:sz w:val="18"/>
                <w:szCs w:val="18"/>
              </w:rPr>
            </w:pPr>
            <w:r>
              <w:rPr>
                <w:rFonts w:hint="eastAsia" w:ascii="仿宋" w:hAnsi="仿宋" w:eastAsia="仿宋"/>
                <w:b w:val="0"/>
                <w:bCs/>
                <w:color w:val="auto"/>
                <w:sz w:val="18"/>
                <w:szCs w:val="18"/>
              </w:rPr>
              <w:t>收入</w:t>
            </w:r>
          </w:p>
        </w:tc>
        <w:tc>
          <w:tcPr>
            <w:tcW w:w="6996" w:type="dxa"/>
            <w:gridSpan w:val="7"/>
            <w:tcBorders>
              <w:top w:val="nil"/>
              <w:left w:val="nil"/>
              <w:bottom w:val="nil"/>
              <w:right w:val="nil"/>
              <w:insideV w:val="nil"/>
            </w:tcBorders>
            <w:shd w:val="clear" w:color="auto" w:fill="auto"/>
            <w:vAlign w:val="center"/>
          </w:tcPr>
          <w:p>
            <w:pPr>
              <w:widowControl/>
              <w:snapToGrid w:val="0"/>
              <w:spacing w:before="190" w:beforeLines="50" w:after="190" w:afterLines="50" w:line="240" w:lineRule="auto"/>
              <w:jc w:val="center"/>
              <w:rPr>
                <w:rFonts w:ascii="仿宋" w:hAnsi="仿宋" w:eastAsia="仿宋"/>
                <w:b w:val="0"/>
                <w:bCs/>
                <w:color w:val="auto"/>
                <w:sz w:val="18"/>
                <w:szCs w:val="18"/>
              </w:rPr>
            </w:pPr>
            <w:r>
              <w:rPr>
                <w:rFonts w:hint="eastAsia" w:ascii="仿宋" w:hAnsi="仿宋" w:eastAsia="仿宋"/>
                <w:b w:val="0"/>
                <w:bCs/>
                <w:color w:val="auto"/>
                <w:sz w:val="18"/>
                <w:szCs w:val="18"/>
              </w:rPr>
              <w:t>费用</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44" w:type="dxa"/>
            <w:vMerge w:val="continue"/>
            <w:tcBorders>
              <w:left w:val="nil"/>
              <w:right w:val="nil"/>
              <w:insideV w:val="nil"/>
            </w:tcBorders>
            <w:shd w:val="clear" w:color="auto" w:fill="auto"/>
          </w:tcPr>
          <w:p>
            <w:pPr>
              <w:widowControl/>
              <w:snapToGrid w:val="0"/>
              <w:spacing w:before="190" w:beforeLines="50" w:after="190" w:afterLines="50"/>
              <w:jc w:val="left"/>
              <w:rPr>
                <w:rFonts w:ascii="仿宋" w:hAnsi="仿宋" w:eastAsia="仿宋"/>
                <w:b w:val="0"/>
                <w:bCs/>
                <w:color w:val="auto"/>
                <w:sz w:val="18"/>
                <w:szCs w:val="18"/>
              </w:rPr>
            </w:pPr>
          </w:p>
        </w:tc>
        <w:tc>
          <w:tcPr>
            <w:tcW w:w="382" w:type="dxa"/>
            <w:vMerge w:val="continue"/>
            <w:tcBorders>
              <w:left w:val="nil"/>
              <w:right w:val="nil"/>
              <w:insideV w:val="nil"/>
            </w:tcBorders>
            <w:shd w:val="clear" w:color="auto" w:fill="auto"/>
          </w:tcPr>
          <w:p>
            <w:pPr>
              <w:widowControl/>
              <w:snapToGrid w:val="0"/>
              <w:spacing w:before="190" w:beforeLines="50" w:after="190" w:afterLines="50"/>
              <w:jc w:val="left"/>
              <w:rPr>
                <w:rFonts w:ascii="仿宋" w:hAnsi="仿宋" w:eastAsia="仿宋"/>
                <w:color w:val="auto"/>
                <w:sz w:val="18"/>
                <w:szCs w:val="18"/>
              </w:rPr>
            </w:pPr>
          </w:p>
        </w:tc>
        <w:tc>
          <w:tcPr>
            <w:tcW w:w="1134" w:type="dxa"/>
            <w:vMerge w:val="restart"/>
            <w:tcBorders>
              <w:left w:val="nil"/>
              <w:right w:val="nil"/>
              <w:insideV w:val="nil"/>
            </w:tcBorders>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r>
              <w:rPr>
                <w:rFonts w:hint="eastAsia" w:ascii="仿宋" w:hAnsi="仿宋" w:eastAsia="仿宋"/>
                <w:color w:val="auto"/>
                <w:sz w:val="18"/>
                <w:szCs w:val="18"/>
              </w:rPr>
              <w:t>直接或委托</w:t>
            </w:r>
            <w:r>
              <w:rPr>
                <w:rFonts w:ascii="仿宋" w:hAnsi="仿宋" w:eastAsia="仿宋"/>
                <w:color w:val="auto"/>
                <w:sz w:val="18"/>
                <w:szCs w:val="18"/>
              </w:rPr>
              <w:t>其他组织资助给受益人的款物</w:t>
            </w:r>
          </w:p>
        </w:tc>
        <w:tc>
          <w:tcPr>
            <w:tcW w:w="4768" w:type="dxa"/>
            <w:gridSpan w:val="5"/>
            <w:tcBorders>
              <w:left w:val="nil"/>
              <w:right w:val="nil"/>
              <w:insideV w:val="nil"/>
            </w:tcBorders>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r>
              <w:rPr>
                <w:rFonts w:ascii="仿宋" w:hAnsi="仿宋" w:eastAsia="仿宋"/>
                <w:color w:val="auto"/>
                <w:sz w:val="18"/>
                <w:szCs w:val="18"/>
              </w:rPr>
              <w:t>开展公益项目的运行费用</w:t>
            </w:r>
          </w:p>
        </w:tc>
        <w:tc>
          <w:tcPr>
            <w:tcW w:w="1094" w:type="dxa"/>
            <w:vMerge w:val="restart"/>
            <w:tcBorders>
              <w:left w:val="nil"/>
              <w:right w:val="nil"/>
              <w:insideV w:val="nil"/>
            </w:tcBorders>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r>
              <w:rPr>
                <w:rFonts w:hint="eastAsia" w:ascii="仿宋" w:hAnsi="仿宋" w:eastAsia="仿宋"/>
                <w:color w:val="auto"/>
                <w:sz w:val="18"/>
                <w:szCs w:val="18"/>
              </w:rPr>
              <w:t>总计</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44" w:type="dxa"/>
            <w:vMerge w:val="continue"/>
            <w:shd w:val="clear" w:color="auto" w:fill="auto"/>
          </w:tcPr>
          <w:p>
            <w:pPr>
              <w:widowControl/>
              <w:snapToGrid w:val="0"/>
              <w:spacing w:before="190" w:beforeLines="50" w:after="190" w:afterLines="50"/>
              <w:jc w:val="left"/>
              <w:rPr>
                <w:rFonts w:ascii="仿宋" w:hAnsi="仿宋" w:eastAsia="仿宋"/>
                <w:b w:val="0"/>
                <w:bCs/>
                <w:color w:val="auto"/>
                <w:sz w:val="18"/>
                <w:szCs w:val="18"/>
              </w:rPr>
            </w:pPr>
          </w:p>
        </w:tc>
        <w:tc>
          <w:tcPr>
            <w:tcW w:w="382" w:type="dxa"/>
            <w:vMerge w:val="continue"/>
            <w:shd w:val="clear" w:color="auto" w:fill="auto"/>
          </w:tcPr>
          <w:p>
            <w:pPr>
              <w:widowControl/>
              <w:snapToGrid w:val="0"/>
              <w:spacing w:before="190" w:beforeLines="50" w:after="190" w:afterLines="50"/>
              <w:jc w:val="left"/>
              <w:rPr>
                <w:rFonts w:ascii="仿宋" w:hAnsi="仿宋" w:eastAsia="仿宋"/>
                <w:color w:val="auto"/>
                <w:sz w:val="18"/>
                <w:szCs w:val="18"/>
              </w:rPr>
            </w:pPr>
          </w:p>
        </w:tc>
        <w:tc>
          <w:tcPr>
            <w:tcW w:w="1134" w:type="dxa"/>
            <w:vMerge w:val="continue"/>
            <w:shd w:val="clear" w:color="auto" w:fill="auto"/>
          </w:tcPr>
          <w:p>
            <w:pPr>
              <w:widowControl/>
              <w:snapToGrid w:val="0"/>
              <w:spacing w:before="190" w:beforeLines="50" w:after="190" w:afterLines="50"/>
              <w:jc w:val="left"/>
              <w:rPr>
                <w:rFonts w:ascii="仿宋" w:hAnsi="仿宋" w:eastAsia="仿宋"/>
                <w:color w:val="auto"/>
                <w:sz w:val="18"/>
                <w:szCs w:val="18"/>
              </w:rPr>
            </w:pPr>
          </w:p>
        </w:tc>
        <w:tc>
          <w:tcPr>
            <w:tcW w:w="1134" w:type="dxa"/>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r>
              <w:rPr>
                <w:rFonts w:ascii="仿宋" w:hAnsi="仿宋" w:eastAsia="仿宋"/>
                <w:bCs/>
                <w:color w:val="auto"/>
                <w:sz w:val="18"/>
                <w:szCs w:val="18"/>
              </w:rPr>
              <w:t>为提供慈善服务和实施慈善项目发生的人员报酬、志愿者补贴和保险</w:t>
            </w:r>
          </w:p>
        </w:tc>
        <w:tc>
          <w:tcPr>
            <w:tcW w:w="992" w:type="dxa"/>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r>
              <w:rPr>
                <w:rFonts w:ascii="仿宋" w:hAnsi="仿宋" w:eastAsia="仿宋"/>
                <w:bCs/>
                <w:color w:val="auto"/>
                <w:sz w:val="18"/>
                <w:szCs w:val="18"/>
              </w:rPr>
              <w:t>为管理慈善项目发生的差旅、 物流、交通、会议、培训、审计、评估等费用</w:t>
            </w:r>
          </w:p>
        </w:tc>
        <w:tc>
          <w:tcPr>
            <w:tcW w:w="1134" w:type="dxa"/>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r>
              <w:rPr>
                <w:rFonts w:ascii="仿宋" w:hAnsi="仿宋" w:eastAsia="仿宋"/>
                <w:bCs/>
                <w:color w:val="auto"/>
                <w:sz w:val="18"/>
                <w:szCs w:val="18"/>
              </w:rPr>
              <w:t>使用房屋、设备、物资发生的相关费用</w:t>
            </w:r>
          </w:p>
        </w:tc>
        <w:tc>
          <w:tcPr>
            <w:tcW w:w="415" w:type="dxa"/>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r>
              <w:rPr>
                <w:rFonts w:ascii="仿宋" w:hAnsi="仿宋" w:eastAsia="仿宋"/>
                <w:color w:val="auto"/>
                <w:sz w:val="18"/>
                <w:szCs w:val="18"/>
              </w:rPr>
              <w:t>其他</w:t>
            </w:r>
            <w:r>
              <w:rPr>
                <w:rFonts w:hint="eastAsia" w:ascii="仿宋" w:hAnsi="仿宋" w:eastAsia="仿宋"/>
                <w:color w:val="auto"/>
                <w:sz w:val="18"/>
                <w:szCs w:val="18"/>
              </w:rPr>
              <w:t xml:space="preserve"> </w:t>
            </w:r>
            <w:r>
              <w:rPr>
                <w:rFonts w:ascii="仿宋" w:hAnsi="仿宋" w:eastAsia="仿宋"/>
                <w:color w:val="auto"/>
                <w:sz w:val="18"/>
                <w:szCs w:val="18"/>
              </w:rPr>
              <w:t>费用</w:t>
            </w:r>
          </w:p>
        </w:tc>
        <w:tc>
          <w:tcPr>
            <w:tcW w:w="1093" w:type="dxa"/>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r>
              <w:rPr>
                <w:rFonts w:hint="eastAsia" w:ascii="仿宋" w:hAnsi="仿宋" w:eastAsia="仿宋"/>
                <w:color w:val="auto"/>
                <w:sz w:val="18"/>
                <w:szCs w:val="18"/>
              </w:rPr>
              <w:t>小计</w:t>
            </w:r>
          </w:p>
        </w:tc>
        <w:tc>
          <w:tcPr>
            <w:tcW w:w="1094" w:type="dxa"/>
            <w:vMerge w:val="continue"/>
            <w:shd w:val="clear" w:color="auto" w:fill="auto"/>
          </w:tcPr>
          <w:p>
            <w:pPr>
              <w:widowControl/>
              <w:snapToGrid w:val="0"/>
              <w:spacing w:before="190" w:beforeLines="50" w:after="190" w:afterLines="50"/>
              <w:jc w:val="left"/>
              <w:rPr>
                <w:rFonts w:ascii="仿宋" w:hAnsi="仿宋" w:eastAsia="仿宋"/>
                <w:color w:val="auto"/>
                <w:sz w:val="18"/>
                <w:szCs w:val="18"/>
              </w:rPr>
            </w:pP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44" w:type="dxa"/>
            <w:tcBorders>
              <w:left w:val="nil"/>
              <w:right w:val="nil"/>
              <w:insideV w:val="nil"/>
            </w:tcBorders>
            <w:shd w:val="clear" w:color="auto" w:fill="auto"/>
            <w:vAlign w:val="center"/>
          </w:tcPr>
          <w:p>
            <w:pPr>
              <w:widowControl/>
              <w:snapToGrid w:val="0"/>
              <w:spacing w:before="190" w:beforeLines="50" w:after="190" w:afterLines="50"/>
              <w:rPr>
                <w:rFonts w:ascii="仿宋" w:hAnsi="仿宋" w:eastAsia="仿宋"/>
                <w:b w:val="0"/>
                <w:bCs/>
                <w:color w:val="auto"/>
                <w:sz w:val="18"/>
                <w:szCs w:val="18"/>
              </w:rPr>
            </w:pPr>
            <w:r>
              <w:rPr>
                <w:rFonts w:hint="eastAsia" w:ascii="仿宋" w:hAnsi="仿宋" w:eastAsia="仿宋"/>
                <w:b w:val="0"/>
                <w:bCs/>
                <w:color w:val="auto"/>
                <w:sz w:val="18"/>
                <w:szCs w:val="18"/>
              </w:rPr>
              <w:t>1.百城千校</w:t>
            </w:r>
          </w:p>
        </w:tc>
        <w:tc>
          <w:tcPr>
            <w:tcW w:w="382"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color w:val="auto"/>
                <w:sz w:val="15"/>
                <w:szCs w:val="15"/>
              </w:rPr>
            </w:pPr>
          </w:p>
        </w:tc>
        <w:tc>
          <w:tcPr>
            <w:tcW w:w="1134"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color w:val="auto"/>
                <w:sz w:val="15"/>
                <w:szCs w:val="15"/>
              </w:rPr>
            </w:pPr>
            <w:r>
              <w:rPr>
                <w:rFonts w:ascii="Trebuchet MS" w:hAnsi="Trebuchet MS" w:eastAsia="宋体" w:cs="Arial"/>
                <w:color w:val="auto"/>
                <w:sz w:val="15"/>
                <w:szCs w:val="15"/>
              </w:rPr>
              <w:t>¥</w:t>
            </w:r>
            <w:r>
              <w:rPr>
                <w:rFonts w:hint="eastAsia" w:ascii="Trebuchet MS" w:hAnsi="Trebuchet MS" w:eastAsia="仿宋"/>
                <w:color w:val="auto"/>
                <w:sz w:val="15"/>
                <w:szCs w:val="15"/>
              </w:rPr>
              <w:t>64,335.50.</w:t>
            </w:r>
          </w:p>
        </w:tc>
        <w:tc>
          <w:tcPr>
            <w:tcW w:w="1134"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color w:val="auto"/>
                <w:sz w:val="15"/>
                <w:szCs w:val="15"/>
              </w:rPr>
            </w:pPr>
            <w:r>
              <w:rPr>
                <w:rFonts w:ascii="Trebuchet MS" w:hAnsi="Trebuchet MS" w:eastAsia="宋体" w:cs="Arial"/>
                <w:color w:val="auto"/>
                <w:sz w:val="15"/>
                <w:szCs w:val="15"/>
              </w:rPr>
              <w:t>¥</w:t>
            </w:r>
            <w:r>
              <w:rPr>
                <w:rFonts w:hint="eastAsia" w:ascii="Trebuchet MS" w:hAnsi="Trebuchet MS" w:eastAsia="宋体" w:cs="Arial"/>
                <w:color w:val="auto"/>
                <w:sz w:val="15"/>
                <w:szCs w:val="15"/>
              </w:rPr>
              <w:t>169,000.00</w:t>
            </w:r>
          </w:p>
        </w:tc>
        <w:tc>
          <w:tcPr>
            <w:tcW w:w="992"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color w:val="auto"/>
                <w:sz w:val="15"/>
                <w:szCs w:val="15"/>
              </w:rPr>
            </w:pPr>
            <w:r>
              <w:rPr>
                <w:rFonts w:ascii="Trebuchet MS" w:hAnsi="Trebuchet MS" w:eastAsia="宋体" w:cs="Arial"/>
                <w:color w:val="auto"/>
                <w:sz w:val="15"/>
                <w:szCs w:val="15"/>
              </w:rPr>
              <w:t>¥</w:t>
            </w:r>
            <w:r>
              <w:rPr>
                <w:rFonts w:hint="eastAsia" w:ascii="Trebuchet MS" w:hAnsi="Trebuchet MS" w:eastAsia="宋体" w:cs="Arial"/>
                <w:color w:val="auto"/>
                <w:sz w:val="15"/>
                <w:szCs w:val="15"/>
              </w:rPr>
              <w:t>15,275.98</w:t>
            </w:r>
          </w:p>
        </w:tc>
        <w:tc>
          <w:tcPr>
            <w:tcW w:w="1134"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color w:val="auto"/>
                <w:sz w:val="15"/>
                <w:szCs w:val="15"/>
              </w:rPr>
            </w:pPr>
            <w:r>
              <w:rPr>
                <w:rFonts w:ascii="Trebuchet MS" w:hAnsi="Trebuchet MS" w:eastAsia="宋体" w:cs="Arial"/>
                <w:color w:val="auto"/>
                <w:sz w:val="15"/>
                <w:szCs w:val="15"/>
              </w:rPr>
              <w:t>¥</w:t>
            </w:r>
            <w:r>
              <w:rPr>
                <w:rFonts w:hint="eastAsia" w:ascii="Trebuchet MS" w:hAnsi="Trebuchet MS" w:eastAsia="仿宋"/>
                <w:color w:val="auto"/>
                <w:sz w:val="15"/>
                <w:szCs w:val="15"/>
              </w:rPr>
              <w:t>117,772.17</w:t>
            </w:r>
          </w:p>
        </w:tc>
        <w:tc>
          <w:tcPr>
            <w:tcW w:w="415"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color w:val="auto"/>
                <w:sz w:val="15"/>
                <w:szCs w:val="15"/>
              </w:rPr>
            </w:pPr>
          </w:p>
        </w:tc>
        <w:tc>
          <w:tcPr>
            <w:tcW w:w="1093"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color w:val="auto"/>
                <w:sz w:val="15"/>
                <w:szCs w:val="15"/>
              </w:rPr>
            </w:pPr>
            <w:r>
              <w:rPr>
                <w:rFonts w:ascii="Trebuchet MS" w:hAnsi="Trebuchet MS" w:eastAsia="宋体" w:cs="Arial"/>
                <w:color w:val="auto"/>
                <w:sz w:val="15"/>
                <w:szCs w:val="15"/>
              </w:rPr>
              <w:t>¥</w:t>
            </w:r>
            <w:r>
              <w:rPr>
                <w:rFonts w:ascii="Trebuchet MS" w:hAnsi="Trebuchet MS" w:eastAsia="仿宋" w:cs="Arial"/>
                <w:color w:val="auto"/>
                <w:sz w:val="15"/>
                <w:szCs w:val="15"/>
              </w:rPr>
              <w:t>366,383.65</w:t>
            </w:r>
          </w:p>
        </w:tc>
        <w:tc>
          <w:tcPr>
            <w:tcW w:w="1094"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color w:val="auto"/>
                <w:sz w:val="15"/>
                <w:szCs w:val="15"/>
              </w:rPr>
            </w:pPr>
            <w:r>
              <w:rPr>
                <w:rFonts w:ascii="Trebuchet MS" w:hAnsi="Trebuchet MS" w:eastAsia="宋体" w:cs="Arial"/>
                <w:color w:val="auto"/>
                <w:sz w:val="15"/>
                <w:szCs w:val="15"/>
              </w:rPr>
              <w:t>¥</w:t>
            </w:r>
            <w:r>
              <w:rPr>
                <w:rFonts w:ascii="Trebuchet MS" w:hAnsi="Trebuchet MS" w:eastAsia="仿宋" w:cs="Arial"/>
                <w:color w:val="auto"/>
                <w:sz w:val="15"/>
                <w:szCs w:val="15"/>
              </w:rPr>
              <w:t>366,383.65</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44" w:type="dxa"/>
            <w:shd w:val="clear" w:color="auto" w:fill="auto"/>
            <w:vAlign w:val="center"/>
          </w:tcPr>
          <w:p>
            <w:pPr>
              <w:widowControl/>
              <w:snapToGrid w:val="0"/>
              <w:spacing w:before="190" w:beforeLines="50" w:after="190" w:afterLines="50"/>
              <w:rPr>
                <w:rFonts w:ascii="仿宋" w:hAnsi="仿宋" w:eastAsia="仿宋"/>
                <w:b/>
                <w:bCs/>
                <w:color w:val="7B7B7B" w:themeColor="accent3" w:themeShade="BF"/>
                <w:sz w:val="18"/>
                <w:szCs w:val="18"/>
              </w:rPr>
            </w:pPr>
            <w:r>
              <w:rPr>
                <w:rFonts w:hint="eastAsia" w:ascii="仿宋" w:hAnsi="仿宋" w:eastAsia="仿宋"/>
                <w:b w:val="0"/>
                <w:bCs/>
                <w:color w:val="auto"/>
                <w:sz w:val="18"/>
                <w:szCs w:val="18"/>
              </w:rPr>
              <w:t>2.图书捐赠</w:t>
            </w:r>
          </w:p>
        </w:tc>
        <w:tc>
          <w:tcPr>
            <w:tcW w:w="382" w:type="dxa"/>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p>
        </w:tc>
        <w:tc>
          <w:tcPr>
            <w:tcW w:w="1134" w:type="dxa"/>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r>
              <w:rPr>
                <w:rFonts w:ascii="Trebuchet MS" w:hAnsi="Trebuchet MS" w:eastAsia="仿宋" w:cs="Arial"/>
                <w:color w:val="auto"/>
                <w:sz w:val="15"/>
                <w:szCs w:val="15"/>
              </w:rPr>
              <w:t>200,000码洋</w:t>
            </w:r>
          </w:p>
        </w:tc>
        <w:tc>
          <w:tcPr>
            <w:tcW w:w="1134" w:type="dxa"/>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p>
        </w:tc>
        <w:tc>
          <w:tcPr>
            <w:tcW w:w="992" w:type="dxa"/>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r>
              <w:rPr>
                <w:rFonts w:ascii="Trebuchet MS" w:hAnsi="Trebuchet MS" w:eastAsia="宋体" w:cs="Arial"/>
                <w:color w:val="auto"/>
                <w:sz w:val="15"/>
                <w:szCs w:val="15"/>
              </w:rPr>
              <w:t>¥</w:t>
            </w:r>
            <w:r>
              <w:rPr>
                <w:rFonts w:ascii="Trebuchet MS" w:hAnsi="Trebuchet MS" w:eastAsia="仿宋" w:cs="Arial"/>
                <w:color w:val="auto"/>
                <w:sz w:val="15"/>
                <w:szCs w:val="15"/>
              </w:rPr>
              <w:t>3</w:t>
            </w:r>
            <w:r>
              <w:rPr>
                <w:rFonts w:hint="eastAsia" w:ascii="Trebuchet MS" w:hAnsi="Trebuchet MS" w:eastAsia="仿宋" w:cs="Arial"/>
                <w:color w:val="auto"/>
                <w:sz w:val="15"/>
                <w:szCs w:val="15"/>
              </w:rPr>
              <w:t>0</w:t>
            </w:r>
            <w:r>
              <w:rPr>
                <w:rFonts w:ascii="Trebuchet MS" w:hAnsi="Trebuchet MS" w:eastAsia="仿宋" w:cs="Arial"/>
                <w:color w:val="auto"/>
                <w:sz w:val="15"/>
                <w:szCs w:val="15"/>
              </w:rPr>
              <w:t>,</w:t>
            </w:r>
            <w:r>
              <w:rPr>
                <w:rFonts w:hint="eastAsia" w:ascii="Trebuchet MS" w:hAnsi="Trebuchet MS" w:eastAsia="仿宋" w:cs="Arial"/>
                <w:color w:val="auto"/>
                <w:sz w:val="15"/>
                <w:szCs w:val="15"/>
              </w:rPr>
              <w:t>000</w:t>
            </w:r>
            <w:r>
              <w:rPr>
                <w:rFonts w:ascii="Trebuchet MS" w:hAnsi="Trebuchet MS" w:eastAsia="仿宋" w:cs="Arial"/>
                <w:color w:val="auto"/>
                <w:sz w:val="15"/>
                <w:szCs w:val="15"/>
              </w:rPr>
              <w:t>.</w:t>
            </w:r>
            <w:r>
              <w:rPr>
                <w:rFonts w:hint="eastAsia" w:ascii="Trebuchet MS" w:hAnsi="Trebuchet MS" w:eastAsia="仿宋" w:cs="Arial"/>
                <w:color w:val="auto"/>
                <w:sz w:val="15"/>
                <w:szCs w:val="15"/>
              </w:rPr>
              <w:t>00</w:t>
            </w:r>
          </w:p>
        </w:tc>
        <w:tc>
          <w:tcPr>
            <w:tcW w:w="1134" w:type="dxa"/>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p>
        </w:tc>
        <w:tc>
          <w:tcPr>
            <w:tcW w:w="415" w:type="dxa"/>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p>
        </w:tc>
        <w:tc>
          <w:tcPr>
            <w:tcW w:w="1093" w:type="dxa"/>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r>
              <w:rPr>
                <w:rFonts w:ascii="Trebuchet MS" w:hAnsi="Trebuchet MS" w:eastAsia="宋体" w:cs="Arial"/>
                <w:color w:val="auto"/>
                <w:sz w:val="15"/>
                <w:szCs w:val="15"/>
              </w:rPr>
              <w:t>¥</w:t>
            </w:r>
            <w:r>
              <w:rPr>
                <w:rFonts w:ascii="Trebuchet MS" w:hAnsi="Trebuchet MS" w:eastAsia="仿宋" w:cs="Arial"/>
                <w:color w:val="auto"/>
                <w:sz w:val="15"/>
                <w:szCs w:val="15"/>
              </w:rPr>
              <w:t>3</w:t>
            </w:r>
            <w:r>
              <w:rPr>
                <w:rFonts w:hint="eastAsia" w:ascii="Trebuchet MS" w:hAnsi="Trebuchet MS" w:eastAsia="仿宋" w:cs="Arial"/>
                <w:color w:val="auto"/>
                <w:sz w:val="15"/>
                <w:szCs w:val="15"/>
              </w:rPr>
              <w:t>0</w:t>
            </w:r>
            <w:r>
              <w:rPr>
                <w:rFonts w:ascii="Trebuchet MS" w:hAnsi="Trebuchet MS" w:eastAsia="仿宋" w:cs="Arial"/>
                <w:color w:val="auto"/>
                <w:sz w:val="15"/>
                <w:szCs w:val="15"/>
              </w:rPr>
              <w:t>,</w:t>
            </w:r>
            <w:r>
              <w:rPr>
                <w:rFonts w:hint="eastAsia" w:ascii="Trebuchet MS" w:hAnsi="Trebuchet MS" w:eastAsia="仿宋" w:cs="Arial"/>
                <w:color w:val="auto"/>
                <w:sz w:val="15"/>
                <w:szCs w:val="15"/>
              </w:rPr>
              <w:t>000</w:t>
            </w:r>
            <w:r>
              <w:rPr>
                <w:rFonts w:ascii="Trebuchet MS" w:hAnsi="Trebuchet MS" w:eastAsia="仿宋" w:cs="Arial"/>
                <w:color w:val="auto"/>
                <w:sz w:val="15"/>
                <w:szCs w:val="15"/>
              </w:rPr>
              <w:t>.</w:t>
            </w:r>
            <w:r>
              <w:rPr>
                <w:rFonts w:hint="eastAsia" w:ascii="Trebuchet MS" w:hAnsi="Trebuchet MS" w:eastAsia="仿宋" w:cs="Arial"/>
                <w:color w:val="auto"/>
                <w:sz w:val="15"/>
                <w:szCs w:val="15"/>
              </w:rPr>
              <w:t xml:space="preserve">00 </w:t>
            </w:r>
            <w:r>
              <w:rPr>
                <w:rFonts w:ascii="Trebuchet MS" w:hAnsi="Trebuchet MS" w:eastAsia="仿宋" w:cs="Arial"/>
                <w:color w:val="auto"/>
                <w:sz w:val="15"/>
                <w:szCs w:val="15"/>
              </w:rPr>
              <w:t>200,000码洋</w:t>
            </w:r>
          </w:p>
        </w:tc>
        <w:tc>
          <w:tcPr>
            <w:tcW w:w="1094" w:type="dxa"/>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r>
              <w:rPr>
                <w:rFonts w:ascii="Trebuchet MS" w:hAnsi="Trebuchet MS" w:eastAsia="宋体" w:cs="Arial"/>
                <w:color w:val="auto"/>
                <w:sz w:val="15"/>
                <w:szCs w:val="15"/>
              </w:rPr>
              <w:t>¥</w:t>
            </w:r>
            <w:r>
              <w:rPr>
                <w:rFonts w:ascii="Trebuchet MS" w:hAnsi="Trebuchet MS" w:eastAsia="仿宋" w:cs="Arial"/>
                <w:color w:val="auto"/>
                <w:sz w:val="15"/>
                <w:szCs w:val="15"/>
              </w:rPr>
              <w:t>3</w:t>
            </w:r>
            <w:r>
              <w:rPr>
                <w:rFonts w:hint="eastAsia" w:ascii="Trebuchet MS" w:hAnsi="Trebuchet MS" w:eastAsia="仿宋" w:cs="Arial"/>
                <w:color w:val="auto"/>
                <w:sz w:val="15"/>
                <w:szCs w:val="15"/>
              </w:rPr>
              <w:t>0</w:t>
            </w:r>
            <w:r>
              <w:rPr>
                <w:rFonts w:ascii="Trebuchet MS" w:hAnsi="Trebuchet MS" w:eastAsia="仿宋" w:cs="Arial"/>
                <w:color w:val="auto"/>
                <w:sz w:val="15"/>
                <w:szCs w:val="15"/>
              </w:rPr>
              <w:t>,</w:t>
            </w:r>
            <w:r>
              <w:rPr>
                <w:rFonts w:hint="eastAsia" w:ascii="Trebuchet MS" w:hAnsi="Trebuchet MS" w:eastAsia="仿宋" w:cs="Arial"/>
                <w:color w:val="auto"/>
                <w:sz w:val="15"/>
                <w:szCs w:val="15"/>
              </w:rPr>
              <w:t>000</w:t>
            </w:r>
            <w:r>
              <w:rPr>
                <w:rFonts w:ascii="Trebuchet MS" w:hAnsi="Trebuchet MS" w:eastAsia="仿宋" w:cs="Arial"/>
                <w:color w:val="auto"/>
                <w:sz w:val="15"/>
                <w:szCs w:val="15"/>
              </w:rPr>
              <w:t>.</w:t>
            </w:r>
            <w:r>
              <w:rPr>
                <w:rFonts w:hint="eastAsia" w:ascii="Trebuchet MS" w:hAnsi="Trebuchet MS" w:eastAsia="仿宋" w:cs="Arial"/>
                <w:color w:val="auto"/>
                <w:sz w:val="15"/>
                <w:szCs w:val="15"/>
              </w:rPr>
              <w:t xml:space="preserve">00 </w:t>
            </w:r>
            <w:r>
              <w:rPr>
                <w:rFonts w:ascii="Trebuchet MS" w:hAnsi="Trebuchet MS" w:eastAsia="仿宋" w:cs="Arial"/>
                <w:color w:val="auto"/>
                <w:sz w:val="15"/>
                <w:szCs w:val="15"/>
              </w:rPr>
              <w:t>200,000码洋</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44" w:type="dxa"/>
            <w:tcBorders>
              <w:left w:val="nil"/>
              <w:right w:val="nil"/>
              <w:insideV w:val="nil"/>
            </w:tcBorders>
            <w:shd w:val="clear" w:color="auto" w:fill="auto"/>
          </w:tcPr>
          <w:p>
            <w:pPr>
              <w:widowControl/>
              <w:snapToGrid w:val="0"/>
              <w:spacing w:before="190" w:beforeLines="50" w:after="190" w:afterLines="50"/>
              <w:jc w:val="center"/>
              <w:rPr>
                <w:rFonts w:ascii="仿宋" w:hAnsi="仿宋" w:eastAsia="仿宋"/>
                <w:b/>
                <w:bCs/>
                <w:color w:val="7B7B7B" w:themeColor="accent3" w:themeShade="BF"/>
                <w:sz w:val="18"/>
                <w:szCs w:val="18"/>
              </w:rPr>
            </w:pPr>
            <w:r>
              <w:rPr>
                <w:rFonts w:hint="eastAsia" w:ascii="仿宋" w:hAnsi="仿宋" w:eastAsia="仿宋"/>
                <w:b w:val="0"/>
                <w:bCs/>
                <w:color w:val="auto"/>
                <w:sz w:val="18"/>
                <w:szCs w:val="18"/>
              </w:rPr>
              <w:t>合计</w:t>
            </w:r>
          </w:p>
        </w:tc>
        <w:tc>
          <w:tcPr>
            <w:tcW w:w="382" w:type="dxa"/>
            <w:tcBorders>
              <w:left w:val="nil"/>
              <w:right w:val="nil"/>
              <w:insideV w:val="nil"/>
            </w:tcBorders>
            <w:shd w:val="clear" w:color="auto" w:fill="auto"/>
          </w:tcPr>
          <w:p>
            <w:pPr>
              <w:widowControl/>
              <w:snapToGrid w:val="0"/>
              <w:spacing w:before="190" w:beforeLines="50" w:after="190" w:afterLines="50"/>
              <w:jc w:val="right"/>
              <w:rPr>
                <w:rFonts w:ascii="Trebuchet MS" w:hAnsi="Trebuchet MS" w:eastAsia="仿宋"/>
                <w:b/>
                <w:color w:val="7B7B7B" w:themeColor="accent3" w:themeShade="BF"/>
                <w:sz w:val="15"/>
                <w:szCs w:val="15"/>
              </w:rPr>
            </w:pPr>
          </w:p>
        </w:tc>
        <w:tc>
          <w:tcPr>
            <w:tcW w:w="1134"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r>
              <w:rPr>
                <w:rFonts w:ascii="Trebuchet MS" w:hAnsi="Trebuchet MS" w:eastAsia="宋体" w:cs="Arial"/>
                <w:color w:val="auto"/>
                <w:sz w:val="15"/>
                <w:szCs w:val="15"/>
              </w:rPr>
              <w:t>¥</w:t>
            </w:r>
            <w:r>
              <w:rPr>
                <w:rFonts w:hint="eastAsia" w:ascii="Trebuchet MS" w:hAnsi="Trebuchet MS" w:eastAsia="仿宋"/>
                <w:color w:val="auto"/>
                <w:sz w:val="15"/>
                <w:szCs w:val="15"/>
              </w:rPr>
              <w:t xml:space="preserve">64,335.50 </w:t>
            </w:r>
            <w:r>
              <w:rPr>
                <w:rFonts w:ascii="Trebuchet MS" w:hAnsi="Trebuchet MS" w:eastAsia="仿宋" w:cs="Arial"/>
                <w:color w:val="auto"/>
                <w:sz w:val="15"/>
                <w:szCs w:val="15"/>
              </w:rPr>
              <w:t>200,000码洋</w:t>
            </w:r>
          </w:p>
        </w:tc>
        <w:tc>
          <w:tcPr>
            <w:tcW w:w="1134"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r>
              <w:rPr>
                <w:rFonts w:ascii="Trebuchet MS" w:hAnsi="Trebuchet MS" w:eastAsia="宋体" w:cs="Arial"/>
                <w:color w:val="auto"/>
                <w:sz w:val="15"/>
                <w:szCs w:val="15"/>
              </w:rPr>
              <w:t>¥</w:t>
            </w:r>
            <w:r>
              <w:rPr>
                <w:rFonts w:hint="eastAsia" w:ascii="Trebuchet MS" w:hAnsi="Trebuchet MS" w:eastAsia="宋体" w:cs="Arial"/>
                <w:color w:val="auto"/>
                <w:sz w:val="15"/>
                <w:szCs w:val="15"/>
              </w:rPr>
              <w:t>169,000.00</w:t>
            </w:r>
          </w:p>
        </w:tc>
        <w:tc>
          <w:tcPr>
            <w:tcW w:w="992"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r>
              <w:rPr>
                <w:rFonts w:ascii="Trebuchet MS" w:hAnsi="Trebuchet MS" w:eastAsia="宋体" w:cs="Arial"/>
                <w:color w:val="auto"/>
                <w:sz w:val="15"/>
                <w:szCs w:val="15"/>
              </w:rPr>
              <w:t>¥</w:t>
            </w:r>
            <w:r>
              <w:rPr>
                <w:rFonts w:hint="eastAsia" w:ascii="Trebuchet MS" w:hAnsi="Trebuchet MS" w:eastAsia="宋体" w:cs="Arial"/>
                <w:color w:val="auto"/>
                <w:sz w:val="15"/>
                <w:szCs w:val="15"/>
              </w:rPr>
              <w:t>45,275.98</w:t>
            </w:r>
          </w:p>
        </w:tc>
        <w:tc>
          <w:tcPr>
            <w:tcW w:w="1134"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r>
              <w:rPr>
                <w:rFonts w:ascii="Trebuchet MS" w:hAnsi="Trebuchet MS" w:eastAsia="宋体" w:cs="Arial"/>
                <w:color w:val="auto"/>
                <w:sz w:val="15"/>
                <w:szCs w:val="15"/>
              </w:rPr>
              <w:t>¥</w:t>
            </w:r>
            <w:r>
              <w:rPr>
                <w:rFonts w:hint="eastAsia" w:ascii="Trebuchet MS" w:hAnsi="Trebuchet MS" w:eastAsia="仿宋"/>
                <w:color w:val="auto"/>
                <w:sz w:val="15"/>
                <w:szCs w:val="15"/>
              </w:rPr>
              <w:t>117,772.17</w:t>
            </w:r>
          </w:p>
        </w:tc>
        <w:tc>
          <w:tcPr>
            <w:tcW w:w="415"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p>
        </w:tc>
        <w:tc>
          <w:tcPr>
            <w:tcW w:w="1093"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r>
              <w:rPr>
                <w:rFonts w:ascii="Trebuchet MS" w:hAnsi="Trebuchet MS" w:eastAsia="宋体" w:cs="Arial"/>
                <w:color w:val="auto"/>
                <w:sz w:val="15"/>
                <w:szCs w:val="15"/>
              </w:rPr>
              <w:t>¥</w:t>
            </w:r>
            <w:r>
              <w:rPr>
                <w:rFonts w:ascii="Trebuchet MS" w:hAnsi="Trebuchet MS" w:eastAsia="仿宋" w:cs="Arial"/>
                <w:color w:val="auto"/>
                <w:sz w:val="15"/>
                <w:szCs w:val="15"/>
              </w:rPr>
              <w:t>3</w:t>
            </w:r>
            <w:r>
              <w:rPr>
                <w:rFonts w:hint="eastAsia" w:ascii="Trebuchet MS" w:hAnsi="Trebuchet MS" w:eastAsia="仿宋" w:cs="Arial"/>
                <w:color w:val="auto"/>
                <w:sz w:val="15"/>
                <w:szCs w:val="15"/>
              </w:rPr>
              <w:t>9</w:t>
            </w:r>
            <w:r>
              <w:rPr>
                <w:rFonts w:ascii="Trebuchet MS" w:hAnsi="Trebuchet MS" w:eastAsia="仿宋" w:cs="Arial"/>
                <w:color w:val="auto"/>
                <w:sz w:val="15"/>
                <w:szCs w:val="15"/>
              </w:rPr>
              <w:t>6,383.65</w:t>
            </w:r>
            <w:r>
              <w:rPr>
                <w:rFonts w:hint="eastAsia" w:ascii="Trebuchet MS" w:hAnsi="Trebuchet MS" w:eastAsia="仿宋" w:cs="Arial"/>
                <w:color w:val="auto"/>
                <w:sz w:val="15"/>
                <w:szCs w:val="15"/>
              </w:rPr>
              <w:t xml:space="preserve"> </w:t>
            </w:r>
            <w:r>
              <w:rPr>
                <w:rFonts w:ascii="Trebuchet MS" w:hAnsi="Trebuchet MS" w:eastAsia="仿宋" w:cs="Arial"/>
                <w:color w:val="auto"/>
                <w:sz w:val="15"/>
                <w:szCs w:val="15"/>
              </w:rPr>
              <w:t>200,000码洋</w:t>
            </w:r>
          </w:p>
        </w:tc>
        <w:tc>
          <w:tcPr>
            <w:tcW w:w="1094" w:type="dxa"/>
            <w:tcBorders>
              <w:left w:val="nil"/>
              <w:right w:val="nil"/>
              <w:insideV w:val="nil"/>
            </w:tcBorders>
            <w:shd w:val="clear" w:color="auto" w:fill="auto"/>
            <w:vAlign w:val="center"/>
          </w:tcPr>
          <w:p>
            <w:pPr>
              <w:widowControl/>
              <w:snapToGrid w:val="0"/>
              <w:spacing w:before="190" w:beforeLines="50" w:after="190" w:afterLines="50"/>
              <w:jc w:val="right"/>
              <w:rPr>
                <w:rFonts w:ascii="Trebuchet MS" w:hAnsi="Trebuchet MS" w:eastAsia="仿宋"/>
                <w:b/>
                <w:color w:val="7B7B7B" w:themeColor="accent3" w:themeShade="BF"/>
                <w:sz w:val="15"/>
                <w:szCs w:val="15"/>
              </w:rPr>
            </w:pPr>
            <w:r>
              <w:rPr>
                <w:rFonts w:ascii="Trebuchet MS" w:hAnsi="Trebuchet MS" w:eastAsia="宋体" w:cs="Arial"/>
                <w:color w:val="auto"/>
                <w:sz w:val="15"/>
                <w:szCs w:val="15"/>
              </w:rPr>
              <w:t>¥</w:t>
            </w:r>
            <w:r>
              <w:rPr>
                <w:rFonts w:ascii="Trebuchet MS" w:hAnsi="Trebuchet MS" w:eastAsia="仿宋" w:cs="Arial"/>
                <w:color w:val="auto"/>
                <w:sz w:val="15"/>
                <w:szCs w:val="15"/>
              </w:rPr>
              <w:t>3</w:t>
            </w:r>
            <w:r>
              <w:rPr>
                <w:rFonts w:hint="eastAsia" w:ascii="Trebuchet MS" w:hAnsi="Trebuchet MS" w:eastAsia="仿宋" w:cs="Arial"/>
                <w:color w:val="auto"/>
                <w:sz w:val="15"/>
                <w:szCs w:val="15"/>
              </w:rPr>
              <w:t>9</w:t>
            </w:r>
            <w:r>
              <w:rPr>
                <w:rFonts w:ascii="Trebuchet MS" w:hAnsi="Trebuchet MS" w:eastAsia="仿宋" w:cs="Arial"/>
                <w:color w:val="auto"/>
                <w:sz w:val="15"/>
                <w:szCs w:val="15"/>
              </w:rPr>
              <w:t>6,383.65</w:t>
            </w:r>
            <w:r>
              <w:rPr>
                <w:rFonts w:hint="eastAsia" w:ascii="Trebuchet MS" w:hAnsi="Trebuchet MS" w:eastAsia="仿宋" w:cs="Arial"/>
                <w:color w:val="auto"/>
                <w:sz w:val="15"/>
                <w:szCs w:val="15"/>
              </w:rPr>
              <w:t xml:space="preserve"> </w:t>
            </w:r>
            <w:r>
              <w:rPr>
                <w:rFonts w:ascii="Trebuchet MS" w:hAnsi="Trebuchet MS" w:eastAsia="仿宋" w:cs="Arial"/>
                <w:color w:val="auto"/>
                <w:sz w:val="15"/>
                <w:szCs w:val="15"/>
              </w:rPr>
              <w:t>200,000码洋</w:t>
            </w:r>
          </w:p>
        </w:tc>
      </w:tr>
    </w:tbl>
    <w:p>
      <w:pPr>
        <w:widowControl/>
        <w:snapToGrid w:val="0"/>
        <w:spacing w:line="360" w:lineRule="auto"/>
        <w:jc w:val="left"/>
        <w:rPr>
          <w:rFonts w:ascii="华文中宋" w:hAnsi="华文中宋" w:eastAsia="华文中宋"/>
          <w:sz w:val="24"/>
          <w:szCs w:val="24"/>
        </w:rPr>
      </w:pPr>
    </w:p>
    <w:p>
      <w:pPr>
        <w:snapToGrid w:val="0"/>
        <w:spacing w:line="360" w:lineRule="auto"/>
        <w:rPr>
          <w:rFonts w:ascii="仿宋" w:hAnsi="仿宋" w:eastAsia="仿宋"/>
          <w:b/>
          <w:sz w:val="21"/>
          <w:szCs w:val="21"/>
        </w:rPr>
      </w:pPr>
      <w:r>
        <w:rPr>
          <w:rFonts w:hint="eastAsia" w:ascii="仿宋" w:hAnsi="仿宋" w:eastAsia="仿宋"/>
          <w:b/>
          <w:sz w:val="21"/>
          <w:szCs w:val="21"/>
        </w:rPr>
        <w:t>四</w:t>
      </w:r>
      <w:r>
        <w:rPr>
          <w:rFonts w:ascii="仿宋" w:hAnsi="仿宋" w:eastAsia="仿宋"/>
          <w:b/>
          <w:sz w:val="21"/>
          <w:szCs w:val="21"/>
        </w:rPr>
        <w:t>、重大公益项目大额支付明细表</w:t>
      </w:r>
    </w:p>
    <w:tbl>
      <w:tblPr>
        <w:tblStyle w:val="11"/>
        <w:tblW w:w="0" w:type="auto"/>
        <w:tblInd w:w="0" w:type="dxa"/>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Layout w:type="autofit"/>
        <w:tblCellMar>
          <w:top w:w="0" w:type="dxa"/>
          <w:left w:w="108" w:type="dxa"/>
          <w:bottom w:w="0" w:type="dxa"/>
          <w:right w:w="108" w:type="dxa"/>
        </w:tblCellMar>
      </w:tblPr>
      <w:tblGrid>
        <w:gridCol w:w="1144"/>
        <w:gridCol w:w="2660"/>
        <w:gridCol w:w="1407"/>
        <w:gridCol w:w="1738"/>
        <w:gridCol w:w="1573"/>
      </w:tblGrid>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60" w:hRule="atLeast"/>
        </w:trPr>
        <w:tc>
          <w:tcPr>
            <w:tcW w:w="1144" w:type="dxa"/>
            <w:tcBorders>
              <w:top w:val="nil"/>
              <w:left w:val="nil"/>
              <w:bottom w:val="nil"/>
              <w:right w:val="nil"/>
              <w:insideV w:val="nil"/>
            </w:tcBorders>
            <w:shd w:val="clear" w:color="auto" w:fill="auto"/>
            <w:vAlign w:val="center"/>
          </w:tcPr>
          <w:p>
            <w:pPr>
              <w:widowControl/>
              <w:snapToGrid w:val="0"/>
              <w:spacing w:before="190" w:beforeLines="50" w:after="190" w:afterLines="50" w:line="240" w:lineRule="auto"/>
              <w:jc w:val="center"/>
              <w:rPr>
                <w:rFonts w:ascii="仿宋" w:hAnsi="仿宋" w:eastAsia="仿宋"/>
                <w:b w:val="0"/>
                <w:bCs/>
                <w:color w:val="auto"/>
                <w:sz w:val="18"/>
                <w:szCs w:val="18"/>
              </w:rPr>
            </w:pPr>
            <w:r>
              <w:rPr>
                <w:rFonts w:ascii="仿宋" w:hAnsi="仿宋" w:eastAsia="仿宋"/>
                <w:b w:val="0"/>
                <w:bCs/>
                <w:color w:val="auto"/>
                <w:sz w:val="18"/>
                <w:szCs w:val="18"/>
              </w:rPr>
              <w:t>项目名称</w:t>
            </w:r>
          </w:p>
        </w:tc>
        <w:tc>
          <w:tcPr>
            <w:tcW w:w="2660" w:type="dxa"/>
            <w:tcBorders>
              <w:top w:val="nil"/>
              <w:left w:val="nil"/>
              <w:bottom w:val="nil"/>
              <w:right w:val="nil"/>
              <w:insideV w:val="nil"/>
            </w:tcBorders>
            <w:shd w:val="clear" w:color="auto" w:fill="auto"/>
            <w:vAlign w:val="center"/>
          </w:tcPr>
          <w:p>
            <w:pPr>
              <w:widowControl/>
              <w:snapToGrid w:val="0"/>
              <w:spacing w:before="190" w:beforeLines="50" w:after="190" w:afterLines="50" w:line="240" w:lineRule="auto"/>
              <w:jc w:val="center"/>
              <w:rPr>
                <w:rFonts w:ascii="仿宋" w:hAnsi="仿宋" w:eastAsia="仿宋"/>
                <w:b w:val="0"/>
                <w:bCs/>
                <w:color w:val="auto"/>
                <w:sz w:val="18"/>
                <w:szCs w:val="18"/>
              </w:rPr>
            </w:pPr>
            <w:r>
              <w:rPr>
                <w:rFonts w:ascii="仿宋" w:hAnsi="仿宋" w:eastAsia="仿宋"/>
                <w:b w:val="0"/>
                <w:bCs/>
                <w:color w:val="auto"/>
                <w:sz w:val="18"/>
                <w:szCs w:val="18"/>
              </w:rPr>
              <w:t>大额支付对象</w:t>
            </w:r>
          </w:p>
        </w:tc>
        <w:tc>
          <w:tcPr>
            <w:tcW w:w="1407" w:type="dxa"/>
            <w:tcBorders>
              <w:top w:val="nil"/>
              <w:left w:val="nil"/>
              <w:bottom w:val="nil"/>
              <w:right w:val="nil"/>
              <w:insideV w:val="nil"/>
            </w:tcBorders>
            <w:shd w:val="clear" w:color="auto" w:fill="auto"/>
            <w:vAlign w:val="center"/>
          </w:tcPr>
          <w:p>
            <w:pPr>
              <w:widowControl/>
              <w:snapToGrid w:val="0"/>
              <w:spacing w:before="190" w:beforeLines="50" w:after="190" w:afterLines="50" w:line="240" w:lineRule="auto"/>
              <w:jc w:val="center"/>
              <w:rPr>
                <w:rFonts w:ascii="仿宋" w:hAnsi="仿宋" w:eastAsia="仿宋"/>
                <w:b w:val="0"/>
                <w:bCs/>
                <w:color w:val="auto"/>
                <w:sz w:val="18"/>
                <w:szCs w:val="18"/>
              </w:rPr>
            </w:pPr>
            <w:r>
              <w:rPr>
                <w:rFonts w:ascii="仿宋" w:hAnsi="仿宋" w:eastAsia="仿宋"/>
                <w:b w:val="0"/>
                <w:bCs/>
                <w:color w:val="auto"/>
                <w:sz w:val="18"/>
                <w:szCs w:val="18"/>
              </w:rPr>
              <w:t>支付金额</w:t>
            </w:r>
          </w:p>
        </w:tc>
        <w:tc>
          <w:tcPr>
            <w:tcW w:w="1738" w:type="dxa"/>
            <w:tcBorders>
              <w:top w:val="nil"/>
              <w:left w:val="nil"/>
              <w:bottom w:val="nil"/>
              <w:right w:val="nil"/>
              <w:insideV w:val="nil"/>
            </w:tcBorders>
            <w:shd w:val="clear" w:color="auto" w:fill="auto"/>
            <w:vAlign w:val="center"/>
          </w:tcPr>
          <w:p>
            <w:pPr>
              <w:widowControl/>
              <w:snapToGrid w:val="0"/>
              <w:spacing w:before="190" w:beforeLines="50" w:after="190" w:afterLines="50" w:line="240" w:lineRule="auto"/>
              <w:jc w:val="center"/>
              <w:rPr>
                <w:rFonts w:ascii="仿宋" w:hAnsi="仿宋" w:eastAsia="仿宋"/>
                <w:b w:val="0"/>
                <w:bCs/>
                <w:color w:val="auto"/>
                <w:sz w:val="18"/>
                <w:szCs w:val="18"/>
              </w:rPr>
            </w:pPr>
            <w:r>
              <w:rPr>
                <w:rFonts w:ascii="仿宋" w:hAnsi="仿宋" w:eastAsia="仿宋"/>
                <w:b w:val="0"/>
                <w:bCs/>
                <w:color w:val="auto"/>
                <w:sz w:val="18"/>
                <w:szCs w:val="18"/>
              </w:rPr>
              <w:t>占基金年度公益总支出比例</w:t>
            </w:r>
          </w:p>
        </w:tc>
        <w:tc>
          <w:tcPr>
            <w:tcW w:w="1573" w:type="dxa"/>
            <w:tcBorders>
              <w:top w:val="nil"/>
              <w:left w:val="nil"/>
              <w:bottom w:val="nil"/>
              <w:right w:val="nil"/>
              <w:insideV w:val="nil"/>
            </w:tcBorders>
            <w:shd w:val="clear" w:color="auto" w:fill="auto"/>
            <w:vAlign w:val="center"/>
          </w:tcPr>
          <w:p>
            <w:pPr>
              <w:widowControl/>
              <w:snapToGrid w:val="0"/>
              <w:spacing w:before="190" w:beforeLines="50" w:after="190" w:afterLines="50" w:line="240" w:lineRule="auto"/>
              <w:jc w:val="center"/>
              <w:rPr>
                <w:rFonts w:ascii="仿宋" w:hAnsi="仿宋" w:eastAsia="仿宋"/>
                <w:b w:val="0"/>
                <w:bCs/>
                <w:color w:val="auto"/>
                <w:sz w:val="18"/>
                <w:szCs w:val="18"/>
              </w:rPr>
            </w:pPr>
            <w:r>
              <w:rPr>
                <w:rFonts w:ascii="仿宋" w:hAnsi="仿宋" w:eastAsia="仿宋"/>
                <w:b w:val="0"/>
                <w:bCs/>
                <w:color w:val="auto"/>
                <w:sz w:val="18"/>
                <w:szCs w:val="18"/>
              </w:rPr>
              <w:t>用途</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44" w:type="dxa"/>
            <w:tcBorders>
              <w:left w:val="nil"/>
              <w:right w:val="nil"/>
              <w:insideV w:val="nil"/>
            </w:tcBorders>
            <w:shd w:val="clear" w:color="auto" w:fill="auto"/>
            <w:vAlign w:val="center"/>
          </w:tcPr>
          <w:p>
            <w:pPr>
              <w:widowControl/>
              <w:snapToGrid w:val="0"/>
              <w:spacing w:before="190" w:beforeLines="50" w:after="190" w:afterLines="50"/>
              <w:jc w:val="center"/>
              <w:rPr>
                <w:rFonts w:ascii="仿宋" w:hAnsi="仿宋" w:eastAsia="仿宋"/>
                <w:b w:val="0"/>
                <w:bCs/>
                <w:color w:val="auto"/>
                <w:sz w:val="18"/>
                <w:szCs w:val="18"/>
              </w:rPr>
            </w:pPr>
            <w:r>
              <w:rPr>
                <w:rFonts w:hint="eastAsia" w:ascii="仿宋" w:hAnsi="仿宋" w:eastAsia="仿宋"/>
                <w:b w:val="0"/>
                <w:bCs/>
                <w:color w:val="auto"/>
                <w:sz w:val="18"/>
                <w:szCs w:val="18"/>
              </w:rPr>
              <w:t>百城千校</w:t>
            </w:r>
          </w:p>
        </w:tc>
        <w:tc>
          <w:tcPr>
            <w:tcW w:w="2660" w:type="dxa"/>
            <w:tcBorders>
              <w:left w:val="nil"/>
              <w:right w:val="nil"/>
              <w:insideV w:val="nil"/>
            </w:tcBorders>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r>
              <w:rPr>
                <w:rFonts w:ascii="仿宋" w:hAnsi="仿宋" w:eastAsia="仿宋"/>
                <w:color w:val="auto"/>
                <w:sz w:val="18"/>
                <w:szCs w:val="18"/>
              </w:rPr>
              <w:t>北京新素代科技有限公司</w:t>
            </w:r>
          </w:p>
        </w:tc>
        <w:tc>
          <w:tcPr>
            <w:tcW w:w="1407" w:type="dxa"/>
            <w:tcBorders>
              <w:left w:val="nil"/>
              <w:right w:val="nil"/>
              <w:insideV w:val="nil"/>
            </w:tcBorders>
            <w:shd w:val="clear" w:color="auto" w:fill="auto"/>
            <w:vAlign w:val="center"/>
          </w:tcPr>
          <w:p>
            <w:pPr>
              <w:widowControl/>
              <w:snapToGrid w:val="0"/>
              <w:spacing w:before="190" w:beforeLines="50" w:after="190" w:afterLines="50"/>
              <w:jc w:val="right"/>
              <w:rPr>
                <w:rFonts w:ascii="仿宋" w:hAnsi="仿宋" w:eastAsia="仿宋"/>
                <w:color w:val="auto"/>
                <w:sz w:val="18"/>
                <w:szCs w:val="18"/>
              </w:rPr>
            </w:pPr>
            <w:r>
              <w:rPr>
                <w:rFonts w:ascii="Trebuchet MS" w:hAnsi="Trebuchet MS" w:eastAsia="宋体" w:cs="Arial"/>
                <w:color w:val="auto"/>
                <w:sz w:val="18"/>
                <w:szCs w:val="18"/>
              </w:rPr>
              <w:t>¥</w:t>
            </w:r>
            <w:r>
              <w:rPr>
                <w:rFonts w:ascii="Trebuchet MS" w:hAnsi="Trebuchet MS" w:eastAsia="仿宋" w:cs="Arial"/>
                <w:color w:val="auto"/>
                <w:sz w:val="18"/>
                <w:szCs w:val="18"/>
              </w:rPr>
              <w:t>366,383.65</w:t>
            </w:r>
          </w:p>
        </w:tc>
        <w:tc>
          <w:tcPr>
            <w:tcW w:w="1738" w:type="dxa"/>
            <w:tcBorders>
              <w:left w:val="nil"/>
              <w:right w:val="nil"/>
              <w:insideV w:val="nil"/>
            </w:tcBorders>
            <w:shd w:val="clear" w:color="auto" w:fill="auto"/>
            <w:vAlign w:val="center"/>
          </w:tcPr>
          <w:p>
            <w:pPr>
              <w:widowControl/>
              <w:snapToGrid w:val="0"/>
              <w:spacing w:before="190" w:beforeLines="50" w:after="190" w:afterLines="50"/>
              <w:jc w:val="right"/>
              <w:rPr>
                <w:rFonts w:ascii="仿宋" w:hAnsi="仿宋" w:eastAsia="仿宋"/>
                <w:color w:val="auto"/>
                <w:sz w:val="18"/>
                <w:szCs w:val="18"/>
              </w:rPr>
            </w:pPr>
            <w:r>
              <w:rPr>
                <w:rFonts w:hint="eastAsia" w:ascii="Trebuchet MS" w:hAnsi="Trebuchet MS" w:eastAsia="宋体" w:cs="Arial"/>
                <w:color w:val="auto"/>
                <w:sz w:val="18"/>
                <w:szCs w:val="18"/>
              </w:rPr>
              <w:t>86.07%</w:t>
            </w:r>
            <w:r>
              <w:rPr>
                <w:rFonts w:hint="eastAsia" w:ascii="仿宋" w:hAnsi="仿宋" w:eastAsia="仿宋" w:cs="Arial"/>
                <w:color w:val="auto"/>
                <w:sz w:val="18"/>
                <w:szCs w:val="18"/>
              </w:rPr>
              <w:t>(现金)</w:t>
            </w:r>
          </w:p>
        </w:tc>
        <w:tc>
          <w:tcPr>
            <w:tcW w:w="1573" w:type="dxa"/>
            <w:tcBorders>
              <w:left w:val="nil"/>
              <w:right w:val="nil"/>
              <w:insideV w:val="nil"/>
            </w:tcBorders>
            <w:shd w:val="clear" w:color="auto" w:fill="auto"/>
            <w:vAlign w:val="center"/>
          </w:tcPr>
          <w:p>
            <w:pPr>
              <w:widowControl/>
              <w:snapToGrid w:val="0"/>
              <w:spacing w:before="190" w:beforeLines="50" w:after="190" w:afterLines="50"/>
              <w:rPr>
                <w:rFonts w:ascii="仿宋" w:hAnsi="仿宋" w:eastAsia="仿宋"/>
                <w:color w:val="auto"/>
                <w:sz w:val="18"/>
                <w:szCs w:val="18"/>
              </w:rPr>
            </w:pPr>
            <w:r>
              <w:rPr>
                <w:rFonts w:hint="eastAsia" w:ascii="仿宋" w:hAnsi="仿宋" w:eastAsia="仿宋"/>
                <w:color w:val="auto"/>
                <w:sz w:val="18"/>
                <w:szCs w:val="18"/>
              </w:rPr>
              <w:t>第四届百城千校光盘挑战赛活动款</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c>
          <w:tcPr>
            <w:tcW w:w="1144" w:type="dxa"/>
            <w:shd w:val="clear" w:color="auto" w:fill="auto"/>
            <w:vAlign w:val="center"/>
          </w:tcPr>
          <w:p>
            <w:pPr>
              <w:widowControl/>
              <w:snapToGrid w:val="0"/>
              <w:spacing w:before="190" w:beforeLines="50" w:after="190" w:afterLines="50"/>
              <w:jc w:val="center"/>
              <w:rPr>
                <w:rFonts w:ascii="仿宋" w:hAnsi="仿宋" w:eastAsia="仿宋"/>
                <w:b w:val="0"/>
                <w:bCs/>
                <w:color w:val="auto"/>
                <w:sz w:val="18"/>
                <w:szCs w:val="18"/>
              </w:rPr>
            </w:pPr>
            <w:r>
              <w:rPr>
                <w:rFonts w:hint="eastAsia" w:ascii="仿宋" w:hAnsi="仿宋" w:eastAsia="仿宋"/>
                <w:b w:val="0"/>
                <w:bCs/>
                <w:color w:val="auto"/>
                <w:sz w:val="18"/>
                <w:szCs w:val="18"/>
              </w:rPr>
              <w:t>图书捐赠</w:t>
            </w:r>
          </w:p>
        </w:tc>
        <w:tc>
          <w:tcPr>
            <w:tcW w:w="2660" w:type="dxa"/>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r>
              <w:rPr>
                <w:rFonts w:ascii="仿宋" w:hAnsi="仿宋" w:eastAsia="仿宋"/>
                <w:color w:val="auto"/>
                <w:sz w:val="18"/>
                <w:szCs w:val="18"/>
              </w:rPr>
              <w:t>北京新素代科技有限公司</w:t>
            </w:r>
          </w:p>
        </w:tc>
        <w:tc>
          <w:tcPr>
            <w:tcW w:w="1407" w:type="dxa"/>
            <w:shd w:val="clear" w:color="auto" w:fill="auto"/>
            <w:vAlign w:val="center"/>
          </w:tcPr>
          <w:p>
            <w:pPr>
              <w:widowControl/>
              <w:snapToGrid w:val="0"/>
              <w:spacing w:before="190" w:beforeLines="50" w:after="190" w:afterLines="50"/>
              <w:jc w:val="right"/>
              <w:rPr>
                <w:rFonts w:ascii="仿宋" w:hAnsi="仿宋" w:eastAsia="仿宋"/>
                <w:color w:val="auto"/>
                <w:sz w:val="18"/>
                <w:szCs w:val="18"/>
              </w:rPr>
            </w:pPr>
            <w:r>
              <w:rPr>
                <w:rFonts w:ascii="Trebuchet MS" w:hAnsi="Trebuchet MS" w:eastAsia="仿宋" w:cs="Arial"/>
                <w:color w:val="auto"/>
                <w:sz w:val="18"/>
                <w:szCs w:val="18"/>
              </w:rPr>
              <w:t>200,000码洋</w:t>
            </w:r>
          </w:p>
        </w:tc>
        <w:tc>
          <w:tcPr>
            <w:tcW w:w="1738" w:type="dxa"/>
            <w:shd w:val="clear" w:color="auto" w:fill="auto"/>
            <w:vAlign w:val="center"/>
          </w:tcPr>
          <w:p>
            <w:pPr>
              <w:widowControl/>
              <w:snapToGrid w:val="0"/>
              <w:spacing w:before="190" w:beforeLines="50" w:after="190" w:afterLines="50"/>
              <w:jc w:val="right"/>
              <w:rPr>
                <w:rFonts w:ascii="仿宋" w:hAnsi="仿宋" w:eastAsia="仿宋"/>
                <w:color w:val="auto"/>
                <w:sz w:val="18"/>
                <w:szCs w:val="18"/>
              </w:rPr>
            </w:pPr>
            <w:r>
              <w:rPr>
                <w:rFonts w:hint="eastAsia" w:ascii="Trebuchet MS" w:hAnsi="Trebuchet MS" w:eastAsia="宋体" w:cs="Arial"/>
                <w:color w:val="auto"/>
                <w:sz w:val="18"/>
                <w:szCs w:val="18"/>
              </w:rPr>
              <w:t>100.00%</w:t>
            </w:r>
            <w:r>
              <w:rPr>
                <w:rFonts w:hint="eastAsia" w:ascii="仿宋" w:hAnsi="仿宋" w:eastAsia="仿宋" w:cs="Arial"/>
                <w:color w:val="auto"/>
                <w:sz w:val="18"/>
                <w:szCs w:val="18"/>
              </w:rPr>
              <w:t>(非现金)</w:t>
            </w:r>
          </w:p>
        </w:tc>
        <w:tc>
          <w:tcPr>
            <w:tcW w:w="1573" w:type="dxa"/>
            <w:shd w:val="clear" w:color="auto" w:fill="auto"/>
            <w:vAlign w:val="center"/>
          </w:tcPr>
          <w:p>
            <w:pPr>
              <w:widowControl/>
              <w:snapToGrid w:val="0"/>
              <w:spacing w:before="190" w:beforeLines="50" w:after="190" w:afterLines="50"/>
              <w:rPr>
                <w:rFonts w:ascii="仿宋" w:hAnsi="仿宋" w:eastAsia="仿宋"/>
                <w:color w:val="auto"/>
                <w:sz w:val="18"/>
                <w:szCs w:val="18"/>
              </w:rPr>
            </w:pPr>
            <w:r>
              <w:rPr>
                <w:rFonts w:hint="eastAsia" w:ascii="仿宋" w:hAnsi="仿宋" w:eastAsia="仿宋" w:cs="仿宋"/>
                <w:color w:val="auto"/>
                <w:sz w:val="18"/>
                <w:szCs w:val="18"/>
              </w:rPr>
              <w:t>用于向“美灵·光盘打卡”</w:t>
            </w:r>
            <w:r>
              <w:rPr>
                <w:rFonts w:hint="eastAsia" w:ascii="仿宋" w:hAnsi="仿宋" w:eastAsia="仿宋"/>
                <w:color w:val="auto"/>
                <w:sz w:val="18"/>
                <w:szCs w:val="18"/>
              </w:rPr>
              <w:t>书海工程的</w:t>
            </w:r>
            <w:r>
              <w:rPr>
                <w:rFonts w:ascii="仿宋" w:hAnsi="仿宋" w:eastAsia="仿宋"/>
                <w:color w:val="auto"/>
                <w:sz w:val="18"/>
                <w:szCs w:val="18"/>
              </w:rPr>
              <w:t>受益人捐赠</w:t>
            </w:r>
            <w:r>
              <w:rPr>
                <w:rFonts w:hint="eastAsia" w:ascii="仿宋" w:hAnsi="仿宋" w:eastAsia="仿宋"/>
                <w:color w:val="auto"/>
                <w:sz w:val="18"/>
                <w:szCs w:val="18"/>
              </w:rPr>
              <w:t>图书</w:t>
            </w:r>
          </w:p>
        </w:tc>
      </w:tr>
      <w:tr>
        <w:tblPrEx>
          <w:tblBorders>
            <w:top w:val="single" w:color="A5A5A5" w:themeColor="accent3" w:sz="12" w:space="0"/>
            <w:left w:val="none" w:color="auto" w:sz="0" w:space="0"/>
            <w:bottom w:val="single" w:color="A5A5A5" w:themeColor="accent3"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70" w:hRule="atLeast"/>
        </w:trPr>
        <w:tc>
          <w:tcPr>
            <w:tcW w:w="1144" w:type="dxa"/>
            <w:tcBorders>
              <w:left w:val="nil"/>
              <w:right w:val="nil"/>
              <w:insideV w:val="nil"/>
            </w:tcBorders>
            <w:shd w:val="clear" w:color="auto" w:fill="auto"/>
            <w:vAlign w:val="center"/>
          </w:tcPr>
          <w:p>
            <w:pPr>
              <w:widowControl/>
              <w:snapToGrid w:val="0"/>
              <w:spacing w:before="190" w:beforeLines="50" w:after="190" w:afterLines="50"/>
              <w:jc w:val="center"/>
              <w:rPr>
                <w:rFonts w:ascii="仿宋" w:hAnsi="仿宋" w:eastAsia="仿宋"/>
                <w:b w:val="0"/>
                <w:bCs/>
                <w:color w:val="auto"/>
                <w:sz w:val="18"/>
                <w:szCs w:val="18"/>
              </w:rPr>
            </w:pPr>
            <w:r>
              <w:rPr>
                <w:rFonts w:ascii="仿宋" w:hAnsi="仿宋" w:eastAsia="仿宋"/>
                <w:b w:val="0"/>
                <w:bCs/>
                <w:color w:val="auto"/>
                <w:sz w:val="18"/>
                <w:szCs w:val="18"/>
              </w:rPr>
              <w:t>合计</w:t>
            </w:r>
          </w:p>
        </w:tc>
        <w:tc>
          <w:tcPr>
            <w:tcW w:w="2660" w:type="dxa"/>
            <w:tcBorders>
              <w:left w:val="nil"/>
              <w:right w:val="nil"/>
              <w:insideV w:val="nil"/>
            </w:tcBorders>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p>
        </w:tc>
        <w:tc>
          <w:tcPr>
            <w:tcW w:w="1407" w:type="dxa"/>
            <w:tcBorders>
              <w:left w:val="nil"/>
              <w:right w:val="nil"/>
              <w:insideV w:val="nil"/>
            </w:tcBorders>
            <w:shd w:val="clear" w:color="auto" w:fill="auto"/>
            <w:vAlign w:val="center"/>
          </w:tcPr>
          <w:p>
            <w:pPr>
              <w:widowControl/>
              <w:snapToGrid w:val="0"/>
              <w:spacing w:before="190" w:beforeLines="50" w:after="190" w:afterLines="50"/>
              <w:jc w:val="right"/>
              <w:rPr>
                <w:rFonts w:ascii="仿宋" w:hAnsi="仿宋" w:eastAsia="仿宋"/>
                <w:color w:val="auto"/>
                <w:sz w:val="18"/>
                <w:szCs w:val="18"/>
              </w:rPr>
            </w:pPr>
            <w:r>
              <w:rPr>
                <w:rFonts w:ascii="Trebuchet MS" w:hAnsi="Trebuchet MS" w:eastAsia="宋体" w:cs="Arial"/>
                <w:color w:val="auto"/>
                <w:sz w:val="18"/>
                <w:szCs w:val="18"/>
              </w:rPr>
              <w:t>¥</w:t>
            </w:r>
            <w:r>
              <w:rPr>
                <w:rFonts w:ascii="Trebuchet MS" w:hAnsi="Trebuchet MS" w:eastAsia="仿宋" w:cs="Arial"/>
                <w:color w:val="auto"/>
                <w:sz w:val="18"/>
                <w:szCs w:val="18"/>
              </w:rPr>
              <w:t>3</w:t>
            </w:r>
            <w:r>
              <w:rPr>
                <w:rFonts w:hint="eastAsia" w:ascii="Trebuchet MS" w:hAnsi="Trebuchet MS" w:eastAsia="仿宋" w:cs="Arial"/>
                <w:color w:val="auto"/>
                <w:sz w:val="18"/>
                <w:szCs w:val="18"/>
              </w:rPr>
              <w:t>6</w:t>
            </w:r>
            <w:r>
              <w:rPr>
                <w:rFonts w:ascii="Trebuchet MS" w:hAnsi="Trebuchet MS" w:eastAsia="仿宋" w:cs="Arial"/>
                <w:color w:val="auto"/>
                <w:sz w:val="18"/>
                <w:szCs w:val="18"/>
              </w:rPr>
              <w:t>6,383.65</w:t>
            </w:r>
            <w:r>
              <w:rPr>
                <w:rFonts w:hint="eastAsia" w:ascii="Trebuchet MS" w:hAnsi="Trebuchet MS" w:eastAsia="仿宋" w:cs="Arial"/>
                <w:color w:val="auto"/>
                <w:sz w:val="18"/>
                <w:szCs w:val="18"/>
              </w:rPr>
              <w:t xml:space="preserve"> </w:t>
            </w:r>
            <w:r>
              <w:rPr>
                <w:rFonts w:ascii="Trebuchet MS" w:hAnsi="Trebuchet MS" w:eastAsia="仿宋" w:cs="Arial"/>
                <w:color w:val="auto"/>
                <w:sz w:val="18"/>
                <w:szCs w:val="18"/>
              </w:rPr>
              <w:t>200,000码洋</w:t>
            </w:r>
          </w:p>
        </w:tc>
        <w:tc>
          <w:tcPr>
            <w:tcW w:w="1738" w:type="dxa"/>
            <w:tcBorders>
              <w:left w:val="nil"/>
              <w:right w:val="nil"/>
              <w:insideV w:val="nil"/>
            </w:tcBorders>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p>
        </w:tc>
        <w:tc>
          <w:tcPr>
            <w:tcW w:w="1573" w:type="dxa"/>
            <w:tcBorders>
              <w:left w:val="nil"/>
              <w:right w:val="nil"/>
              <w:insideV w:val="nil"/>
            </w:tcBorders>
            <w:shd w:val="clear" w:color="auto" w:fill="auto"/>
            <w:vAlign w:val="center"/>
          </w:tcPr>
          <w:p>
            <w:pPr>
              <w:widowControl/>
              <w:snapToGrid w:val="0"/>
              <w:spacing w:before="190" w:beforeLines="50" w:after="190" w:afterLines="50"/>
              <w:jc w:val="center"/>
              <w:rPr>
                <w:rFonts w:ascii="仿宋" w:hAnsi="仿宋" w:eastAsia="仿宋"/>
                <w:color w:val="auto"/>
                <w:sz w:val="18"/>
                <w:szCs w:val="18"/>
              </w:rPr>
            </w:pPr>
          </w:p>
        </w:tc>
      </w:tr>
    </w:tbl>
    <w:p>
      <w:pPr>
        <w:widowControl/>
        <w:snapToGrid w:val="0"/>
        <w:spacing w:line="360" w:lineRule="auto"/>
        <w:jc w:val="left"/>
        <w:rPr>
          <w:rFonts w:ascii="华文中宋" w:hAnsi="华文中宋" w:eastAsia="华文中宋"/>
          <w:sz w:val="24"/>
          <w:szCs w:val="24"/>
        </w:rPr>
      </w:pPr>
    </w:p>
    <w:p>
      <w:pPr>
        <w:snapToGrid w:val="0"/>
        <w:spacing w:line="360" w:lineRule="auto"/>
        <w:rPr>
          <w:rFonts w:ascii="仿宋" w:hAnsi="仿宋" w:eastAsia="仿宋"/>
          <w:b/>
          <w:sz w:val="21"/>
          <w:szCs w:val="21"/>
        </w:rPr>
      </w:pPr>
      <w:r>
        <w:rPr>
          <w:rFonts w:hint="eastAsia" w:ascii="仿宋" w:hAnsi="仿宋" w:eastAsia="仿宋"/>
          <w:b/>
          <w:sz w:val="21"/>
          <w:szCs w:val="21"/>
        </w:rPr>
        <w:t>说明：因中国光华科技基金会2021年度审计报告仍在编撰中，以上捐赠收入和活动支出情况为初步归纳，如与审计报告终稿不一致的，以审计报告终稿为准。</w:t>
      </w:r>
    </w:p>
    <w:p>
      <w:pPr>
        <w:widowControl/>
        <w:jc w:val="left"/>
        <w:rPr>
          <w:rFonts w:ascii="华文中宋" w:hAnsi="华文中宋" w:eastAsia="华文中宋"/>
          <w:sz w:val="24"/>
          <w:szCs w:val="24"/>
        </w:rPr>
      </w:pPr>
      <w:r>
        <w:rPr>
          <w:rFonts w:ascii="华文中宋" w:hAnsi="华文中宋" w:eastAsia="华文中宋"/>
          <w:sz w:val="24"/>
          <w:szCs w:val="24"/>
        </w:rPr>
        <w:br w:type="page"/>
      </w:r>
    </w:p>
    <w:p>
      <w:pPr>
        <w:snapToGrid w:val="0"/>
        <w:spacing w:line="360" w:lineRule="auto"/>
        <w:rPr>
          <w:rFonts w:ascii="华文中宋" w:hAnsi="华文中宋" w:eastAsia="华文中宋"/>
          <w:sz w:val="24"/>
          <w:szCs w:val="24"/>
        </w:rPr>
      </w:pPr>
      <w:r>
        <w:rPr>
          <w:rFonts w:hint="eastAsia" w:ascii="华文中宋" w:hAnsi="华文中宋" w:eastAsia="华文中宋"/>
          <w:sz w:val="24"/>
          <w:szCs w:val="24"/>
        </w:rPr>
        <w:t>附二：媒体报道（部分）</w:t>
      </w:r>
    </w:p>
    <w:p>
      <w:pPr>
        <w:rPr>
          <w:rFonts w:ascii="仿宋" w:hAnsi="仿宋" w:eastAsia="仿宋"/>
          <w:sz w:val="21"/>
          <w:szCs w:val="21"/>
        </w:rPr>
      </w:pPr>
    </w:p>
    <w:p>
      <w:pPr>
        <w:rPr>
          <w:rFonts w:ascii="仿宋" w:hAnsi="仿宋" w:eastAsia="仿宋"/>
          <w:sz w:val="21"/>
          <w:szCs w:val="21"/>
        </w:rPr>
      </w:pPr>
      <w:r>
        <w:rPr>
          <w:rFonts w:ascii="仿宋" w:hAnsi="仿宋" w:eastAsia="仿宋"/>
          <w:sz w:val="21"/>
          <w:szCs w:val="21"/>
        </w:rPr>
        <w:t>2021.04.08</w:t>
      </w:r>
    </w:p>
    <w:p>
      <w:pPr>
        <w:rPr>
          <w:rFonts w:ascii="仿宋" w:hAnsi="仿宋" w:eastAsia="仿宋"/>
          <w:sz w:val="21"/>
          <w:szCs w:val="21"/>
        </w:rPr>
      </w:pPr>
      <w:r>
        <w:rPr>
          <w:rFonts w:ascii="仿宋" w:hAnsi="仿宋" w:eastAsia="仿宋"/>
          <w:sz w:val="21"/>
          <w:szCs w:val="21"/>
        </w:rPr>
        <w:t>中国驻东盟使团：第五届三方可持续发展研讨会成功举行</w:t>
      </w:r>
    </w:p>
    <w:p>
      <w:pPr>
        <w:rPr>
          <w:rFonts w:ascii="仿宋" w:hAnsi="仿宋" w:eastAsia="仿宋"/>
          <w:sz w:val="21"/>
          <w:szCs w:val="21"/>
        </w:rPr>
      </w:pPr>
      <w:r>
        <w:fldChar w:fldCharType="begin"/>
      </w:r>
      <w:r>
        <w:instrText xml:space="preserve"> HYPERLINK "https://mp.weixin.qq.com/s?__biz=Mzg2NTE5MjM5Ng==&amp;mid=2247486993&amp;idx=1&amp;sn=907959ba4b2ba95ac485d2611a58419e&amp;chksm=ce5c9eb2f92b17a4832d70bd2af57dc2d7a8025bb68d472c5242dd246271a3a3ba40a2a9e8dc&amp;mpshare=1&amp;scene=1&amp;srcid=0423gtemFCi8bvAInwaH88WJ&amp;sharer_sharetime=1638349396470&amp;sharer_shareid=302802eb81660240a1f704cf92b2d6b5" \l "rd" \t "_blank" </w:instrText>
      </w:r>
      <w:r>
        <w:fldChar w:fldCharType="separate"/>
      </w:r>
      <w:r>
        <w:rPr>
          <w:rFonts w:ascii="仿宋" w:hAnsi="仿宋" w:eastAsia="仿宋"/>
          <w:sz w:val="21"/>
          <w:szCs w:val="21"/>
        </w:rPr>
        <w:t>https://mp.weixin.qq.com/s?__biz=Mzg2NTE5MjM5Ng==&amp;mid=2247486993&amp;idx=1&amp;sn=907959ba4b2ba95ac485d2611a58419e&amp;chksm=ce5c9eb2f92b17a4832d70bd2af57dc2d7a8025bb68d472c5242dd246271a3a3ba40a2a9e8dc&amp;mpshare=1&amp;scene=1&amp;srcid=0423gtemFCi8bvAInwaH88WJ&amp;sharer_sharetime=1638349396470&amp;sharer_shareid=302802eb81660240a1f704cf92b2d6b5#rd</w:t>
      </w:r>
      <w:r>
        <w:rPr>
          <w:rFonts w:ascii="仿宋" w:hAnsi="仿宋" w:eastAsia="仿宋"/>
          <w:sz w:val="21"/>
          <w:szCs w:val="21"/>
        </w:rPr>
        <w:fldChar w:fldCharType="end"/>
      </w:r>
    </w:p>
    <w:p>
      <w:pPr>
        <w:rPr>
          <w:rFonts w:ascii="仿宋" w:hAnsi="仿宋" w:eastAsia="仿宋"/>
          <w:sz w:val="21"/>
          <w:szCs w:val="21"/>
        </w:rPr>
      </w:pPr>
    </w:p>
    <w:p>
      <w:pPr>
        <w:rPr>
          <w:rFonts w:ascii="仿宋" w:hAnsi="仿宋" w:eastAsia="仿宋"/>
          <w:sz w:val="21"/>
          <w:szCs w:val="21"/>
        </w:rPr>
      </w:pPr>
      <w:r>
        <w:rPr>
          <w:rFonts w:ascii="仿宋" w:hAnsi="仿宋" w:eastAsia="仿宋"/>
          <w:sz w:val="21"/>
          <w:szCs w:val="21"/>
        </w:rPr>
        <w:t>2021.08.14</w:t>
      </w:r>
    </w:p>
    <w:p>
      <w:pPr>
        <w:rPr>
          <w:rFonts w:ascii="仿宋" w:hAnsi="仿宋" w:eastAsia="仿宋"/>
          <w:sz w:val="21"/>
          <w:szCs w:val="21"/>
        </w:rPr>
      </w:pPr>
      <w:r>
        <w:rPr>
          <w:rFonts w:hint="eastAsia" w:ascii="仿宋" w:hAnsi="仿宋" w:eastAsia="仿宋"/>
          <w:sz w:val="21"/>
          <w:szCs w:val="21"/>
        </w:rPr>
        <w:t>今日中国：柳济琛：为全球可持续发展贡献青年力量</w:t>
      </w:r>
    </w:p>
    <w:p>
      <w:pPr>
        <w:rPr>
          <w:rFonts w:ascii="仿宋" w:hAnsi="仿宋" w:eastAsia="仿宋"/>
          <w:sz w:val="21"/>
          <w:szCs w:val="21"/>
        </w:rPr>
      </w:pPr>
      <w:r>
        <w:fldChar w:fldCharType="begin"/>
      </w:r>
      <w:r>
        <w:instrText xml:space="preserve"> HYPERLINK "http://www.chinatoday.com.cn/zw2018/ss/202108/t20210814_800255599.html" \t "_blank" </w:instrText>
      </w:r>
      <w:r>
        <w:fldChar w:fldCharType="separate"/>
      </w:r>
      <w:r>
        <w:rPr>
          <w:rFonts w:ascii="仿宋" w:hAnsi="仿宋" w:eastAsia="仿宋"/>
          <w:sz w:val="21"/>
          <w:szCs w:val="21"/>
        </w:rPr>
        <w:t>http://www.chinatoday.com.cn/zw2018/ss/202108/t20210814_800255599.html</w:t>
      </w:r>
      <w:r>
        <w:rPr>
          <w:rFonts w:ascii="仿宋" w:hAnsi="仿宋" w:eastAsia="仿宋"/>
          <w:sz w:val="21"/>
          <w:szCs w:val="21"/>
        </w:rPr>
        <w:fldChar w:fldCharType="end"/>
      </w:r>
    </w:p>
    <w:p>
      <w:pPr>
        <w:rPr>
          <w:rFonts w:ascii="仿宋" w:hAnsi="仿宋" w:eastAsia="仿宋"/>
          <w:sz w:val="21"/>
          <w:szCs w:val="21"/>
        </w:rPr>
      </w:pPr>
    </w:p>
    <w:p>
      <w:pPr>
        <w:rPr>
          <w:rFonts w:ascii="仿宋" w:hAnsi="仿宋" w:eastAsia="仿宋"/>
          <w:sz w:val="21"/>
          <w:szCs w:val="21"/>
        </w:rPr>
      </w:pPr>
      <w:r>
        <w:rPr>
          <w:rFonts w:ascii="仿宋" w:hAnsi="仿宋" w:eastAsia="仿宋"/>
          <w:sz w:val="21"/>
          <w:szCs w:val="21"/>
        </w:rPr>
        <w:t>2021.09.15</w:t>
      </w:r>
    </w:p>
    <w:p>
      <w:pPr>
        <w:rPr>
          <w:rFonts w:ascii="仿宋" w:hAnsi="仿宋" w:eastAsia="仿宋"/>
          <w:sz w:val="21"/>
          <w:szCs w:val="21"/>
        </w:rPr>
      </w:pPr>
      <w:r>
        <w:rPr>
          <w:rFonts w:ascii="仿宋" w:hAnsi="仿宋" w:eastAsia="仿宋"/>
          <w:sz w:val="21"/>
          <w:szCs w:val="21"/>
        </w:rPr>
        <w:t>GYLD国际青年领袖对话：【GYLD Talk】LIU Jichen: Reducing food waste in an interesting way</w:t>
      </w:r>
    </w:p>
    <w:p>
      <w:pPr>
        <w:rPr>
          <w:rFonts w:ascii="仿宋" w:hAnsi="仿宋" w:eastAsia="仿宋"/>
          <w:sz w:val="21"/>
          <w:szCs w:val="21"/>
        </w:rPr>
      </w:pPr>
      <w:r>
        <w:fldChar w:fldCharType="begin"/>
      </w:r>
      <w:r>
        <w:instrText xml:space="preserve"> HYPERLINK "https://mp.weixin.qq.com/s/aU1zCx7vT-ovLVCrMjFa8A" \t "_blank" </w:instrText>
      </w:r>
      <w:r>
        <w:fldChar w:fldCharType="separate"/>
      </w:r>
      <w:r>
        <w:rPr>
          <w:rFonts w:ascii="仿宋" w:hAnsi="仿宋" w:eastAsia="仿宋"/>
          <w:sz w:val="21"/>
          <w:szCs w:val="21"/>
        </w:rPr>
        <w:t>https://mp.weixin.qq.com/s/aU1zCx7vT-ovLVCrMjFa8A</w:t>
      </w:r>
      <w:r>
        <w:rPr>
          <w:rFonts w:ascii="仿宋" w:hAnsi="仿宋" w:eastAsia="仿宋"/>
          <w:sz w:val="21"/>
          <w:szCs w:val="21"/>
        </w:rPr>
        <w:fldChar w:fldCharType="end"/>
      </w:r>
    </w:p>
    <w:p>
      <w:pPr>
        <w:rPr>
          <w:rFonts w:ascii="仿宋" w:hAnsi="仿宋" w:eastAsia="仿宋"/>
          <w:sz w:val="21"/>
          <w:szCs w:val="21"/>
        </w:rPr>
      </w:pPr>
    </w:p>
    <w:p>
      <w:pPr>
        <w:rPr>
          <w:rFonts w:ascii="仿宋" w:hAnsi="仿宋" w:eastAsia="仿宋"/>
          <w:sz w:val="21"/>
          <w:szCs w:val="21"/>
        </w:rPr>
      </w:pPr>
      <w:r>
        <w:rPr>
          <w:rFonts w:ascii="仿宋" w:hAnsi="仿宋" w:eastAsia="仿宋"/>
          <w:sz w:val="21"/>
          <w:szCs w:val="21"/>
        </w:rPr>
        <w:t>2021.10.26</w:t>
      </w:r>
    </w:p>
    <w:p>
      <w:pPr>
        <w:rPr>
          <w:rFonts w:ascii="仿宋" w:hAnsi="仿宋" w:eastAsia="仿宋"/>
          <w:sz w:val="21"/>
          <w:szCs w:val="21"/>
        </w:rPr>
      </w:pPr>
      <w:r>
        <w:rPr>
          <w:rFonts w:ascii="仿宋" w:hAnsi="仿宋" w:eastAsia="仿宋"/>
          <w:sz w:val="21"/>
          <w:szCs w:val="21"/>
        </w:rPr>
        <w:t>北京日报客户端：光盘行动公益基金成立，百城千校光盘挑战行动再次启动</w:t>
      </w:r>
    </w:p>
    <w:p>
      <w:pPr>
        <w:rPr>
          <w:rFonts w:ascii="仿宋" w:hAnsi="仿宋" w:eastAsia="仿宋"/>
          <w:sz w:val="21"/>
          <w:szCs w:val="21"/>
        </w:rPr>
      </w:pPr>
      <w:r>
        <w:fldChar w:fldCharType="begin"/>
      </w:r>
      <w:r>
        <w:instrText xml:space="preserve"> HYPERLINK "https://ie.bjd.com.cn/5b165687a010550e5ddc0e6a/contentApp/5b16573ae4b02a9fe2d558f9/AP6177db65e4b023337eed1085?isshare=1&amp;app=dd5252665cc925b7&amp;contentType=0&amp;isBjh=0" \t "_blank" </w:instrText>
      </w:r>
      <w:r>
        <w:fldChar w:fldCharType="separate"/>
      </w:r>
      <w:r>
        <w:rPr>
          <w:rFonts w:ascii="仿宋" w:hAnsi="仿宋" w:eastAsia="仿宋"/>
          <w:sz w:val="21"/>
          <w:szCs w:val="21"/>
        </w:rPr>
        <w:t>https://ie.bjd.com.cn/5b165687a010550e5ddc0e6a/contentApp/5b16573ae4b02a9fe2d558f9/AP6177db65e4b023337eed1085?isshare=1&amp;app=dd5252665cc925b7&amp;contentType=0&amp;isBjh=0</w:t>
      </w:r>
      <w:r>
        <w:rPr>
          <w:rFonts w:ascii="仿宋" w:hAnsi="仿宋" w:eastAsia="仿宋"/>
          <w:sz w:val="21"/>
          <w:szCs w:val="21"/>
        </w:rPr>
        <w:fldChar w:fldCharType="end"/>
      </w:r>
    </w:p>
    <w:p>
      <w:pPr>
        <w:rPr>
          <w:rFonts w:ascii="仿宋" w:hAnsi="仿宋" w:eastAsia="仿宋"/>
          <w:sz w:val="21"/>
          <w:szCs w:val="21"/>
        </w:rPr>
      </w:pPr>
    </w:p>
    <w:p>
      <w:pPr>
        <w:rPr>
          <w:rFonts w:ascii="仿宋" w:hAnsi="仿宋" w:eastAsia="仿宋"/>
          <w:sz w:val="21"/>
          <w:szCs w:val="21"/>
        </w:rPr>
      </w:pPr>
      <w:r>
        <w:rPr>
          <w:rFonts w:ascii="仿宋" w:hAnsi="仿宋" w:eastAsia="仿宋"/>
          <w:sz w:val="21"/>
          <w:szCs w:val="21"/>
        </w:rPr>
        <w:t>2021.10.27</w:t>
      </w:r>
    </w:p>
    <w:p>
      <w:pPr>
        <w:rPr>
          <w:rFonts w:ascii="仿宋" w:hAnsi="仿宋" w:eastAsia="仿宋"/>
          <w:sz w:val="21"/>
          <w:szCs w:val="21"/>
        </w:rPr>
      </w:pPr>
      <w:r>
        <w:rPr>
          <w:rFonts w:ascii="仿宋" w:hAnsi="仿宋" w:eastAsia="仿宋"/>
          <w:sz w:val="21"/>
          <w:szCs w:val="21"/>
        </w:rPr>
        <w:t>人民政协网：百城千校光盘&amp;自带餐具挑战赛拉开帷幕 光盘行动公益基金在京启动</w:t>
      </w:r>
    </w:p>
    <w:p>
      <w:pPr>
        <w:rPr>
          <w:rFonts w:ascii="仿宋" w:hAnsi="仿宋" w:eastAsia="仿宋"/>
          <w:sz w:val="21"/>
          <w:szCs w:val="21"/>
        </w:rPr>
      </w:pPr>
      <w:r>
        <w:fldChar w:fldCharType="begin"/>
      </w:r>
      <w:r>
        <w:instrText xml:space="preserve"> HYPERLINK "http://mobile.rmzxb.com.cn/tranm/index/url/www.rmzxb.com.cn/c/2021-10-27/2973999.shtml" \t "_blank" </w:instrText>
      </w:r>
      <w:r>
        <w:fldChar w:fldCharType="separate"/>
      </w:r>
      <w:r>
        <w:rPr>
          <w:rFonts w:ascii="仿宋" w:hAnsi="仿宋" w:eastAsia="仿宋"/>
          <w:sz w:val="21"/>
          <w:szCs w:val="21"/>
        </w:rPr>
        <w:t>http://mobile.rmzxb.com.cn/tranm/index/url/www.rmzxb.com.cn/c/2021-10-27/2973999.shtml</w:t>
      </w:r>
      <w:r>
        <w:rPr>
          <w:rFonts w:ascii="仿宋" w:hAnsi="仿宋" w:eastAsia="仿宋"/>
          <w:sz w:val="21"/>
          <w:szCs w:val="21"/>
        </w:rPr>
        <w:fldChar w:fldCharType="end"/>
      </w:r>
    </w:p>
    <w:p>
      <w:pPr>
        <w:rPr>
          <w:rFonts w:ascii="仿宋" w:hAnsi="仿宋" w:eastAsia="仿宋"/>
          <w:sz w:val="21"/>
          <w:szCs w:val="21"/>
        </w:rPr>
      </w:pPr>
      <w:r>
        <w:rPr>
          <w:rFonts w:ascii="仿宋" w:hAnsi="仿宋" w:eastAsia="仿宋"/>
          <w:sz w:val="21"/>
          <w:szCs w:val="21"/>
        </w:rPr>
        <w:t>公益时报：中国光华科技基金会光盘行动公益基金在京启动</w:t>
      </w:r>
    </w:p>
    <w:p>
      <w:pPr>
        <w:rPr>
          <w:rFonts w:ascii="仿宋" w:hAnsi="仿宋" w:eastAsia="仿宋"/>
          <w:sz w:val="21"/>
          <w:szCs w:val="21"/>
        </w:rPr>
      </w:pPr>
      <w:r>
        <w:fldChar w:fldCharType="begin"/>
      </w:r>
      <w:r>
        <w:instrText xml:space="preserve"> HYPERLINK "http://www.gongyishibao.com/html/gongyizixun/2021/10/19056.html" \t "_blank" </w:instrText>
      </w:r>
      <w:r>
        <w:fldChar w:fldCharType="separate"/>
      </w:r>
      <w:r>
        <w:rPr>
          <w:rFonts w:ascii="仿宋" w:hAnsi="仿宋" w:eastAsia="仿宋"/>
          <w:sz w:val="21"/>
          <w:szCs w:val="21"/>
        </w:rPr>
        <w:t>http://www.gongyishibao.com/html/gongyizixun/2021/10/19056.html</w:t>
      </w:r>
      <w:r>
        <w:rPr>
          <w:rFonts w:ascii="仿宋" w:hAnsi="仿宋" w:eastAsia="仿宋"/>
          <w:sz w:val="21"/>
          <w:szCs w:val="21"/>
        </w:rPr>
        <w:fldChar w:fldCharType="end"/>
      </w:r>
    </w:p>
    <w:p>
      <w:pPr>
        <w:rPr>
          <w:rFonts w:ascii="仿宋" w:hAnsi="仿宋" w:eastAsia="仿宋"/>
          <w:sz w:val="21"/>
          <w:szCs w:val="21"/>
        </w:rPr>
      </w:pPr>
      <w:r>
        <w:rPr>
          <w:rFonts w:ascii="仿宋" w:hAnsi="仿宋" w:eastAsia="仿宋"/>
          <w:sz w:val="21"/>
          <w:szCs w:val="21"/>
        </w:rPr>
        <w:t>2021.10.28</w:t>
      </w:r>
    </w:p>
    <w:p>
      <w:pPr>
        <w:rPr>
          <w:rFonts w:ascii="仿宋" w:hAnsi="仿宋" w:eastAsia="仿宋"/>
          <w:sz w:val="21"/>
          <w:szCs w:val="21"/>
        </w:rPr>
      </w:pPr>
      <w:r>
        <w:rPr>
          <w:rFonts w:ascii="仿宋" w:hAnsi="仿宋" w:eastAsia="仿宋"/>
          <w:sz w:val="21"/>
          <w:szCs w:val="21"/>
        </w:rPr>
        <w:t>新华社客户端：光盘行动公益基金在京正式揭牌启动</w:t>
      </w:r>
    </w:p>
    <w:p>
      <w:pPr>
        <w:rPr>
          <w:rFonts w:ascii="仿宋" w:hAnsi="仿宋" w:eastAsia="仿宋"/>
          <w:sz w:val="21"/>
          <w:szCs w:val="21"/>
        </w:rPr>
      </w:pPr>
      <w:r>
        <w:fldChar w:fldCharType="begin"/>
      </w:r>
      <w:r>
        <w:instrText xml:space="preserve"> HYPERLINK "https://xhpfmapi.xinhuaxmt.com/vh512/share/10350909?channel=weixin" \t "_blank" </w:instrText>
      </w:r>
      <w:r>
        <w:fldChar w:fldCharType="separate"/>
      </w:r>
      <w:r>
        <w:rPr>
          <w:rFonts w:ascii="仿宋" w:hAnsi="仿宋" w:eastAsia="仿宋"/>
          <w:sz w:val="21"/>
          <w:szCs w:val="21"/>
        </w:rPr>
        <w:t>https://xhpfmapi.xinhuaxmt.com/vh512/share/10350909?channel=weixin</w:t>
      </w:r>
      <w:r>
        <w:rPr>
          <w:rFonts w:ascii="仿宋" w:hAnsi="仿宋" w:eastAsia="仿宋"/>
          <w:sz w:val="21"/>
          <w:szCs w:val="21"/>
        </w:rPr>
        <w:fldChar w:fldCharType="end"/>
      </w:r>
    </w:p>
    <w:p>
      <w:pPr>
        <w:rPr>
          <w:rFonts w:ascii="仿宋" w:hAnsi="仿宋" w:eastAsia="仿宋"/>
          <w:sz w:val="21"/>
          <w:szCs w:val="21"/>
        </w:rPr>
      </w:pPr>
      <w:r>
        <w:rPr>
          <w:rFonts w:ascii="仿宋" w:hAnsi="仿宋" w:eastAsia="仿宋"/>
          <w:sz w:val="21"/>
          <w:szCs w:val="21"/>
        </w:rPr>
        <w:t>中国青年报客户端：</w:t>
      </w:r>
      <w:r>
        <w:rPr>
          <w:rFonts w:hint="eastAsia" w:ascii="仿宋" w:hAnsi="仿宋" w:eastAsia="仿宋"/>
          <w:sz w:val="21"/>
          <w:szCs w:val="21"/>
        </w:rPr>
        <w:t>光盘行动公益基金在京揭牌启动</w:t>
      </w:r>
    </w:p>
    <w:p>
      <w:pPr>
        <w:rPr>
          <w:rFonts w:ascii="仿宋" w:hAnsi="仿宋" w:eastAsia="仿宋"/>
          <w:sz w:val="21"/>
          <w:szCs w:val="21"/>
        </w:rPr>
      </w:pPr>
      <w:r>
        <w:fldChar w:fldCharType="begin"/>
      </w:r>
      <w:r>
        <w:instrText xml:space="preserve"> HYPERLINK "https://s.cyol.com/articles/2021-10/28/content_Da3bq8Cz.html?gid=gDajO4kX" \t "_blank" </w:instrText>
      </w:r>
      <w:r>
        <w:fldChar w:fldCharType="separate"/>
      </w:r>
      <w:r>
        <w:rPr>
          <w:rFonts w:ascii="仿宋" w:hAnsi="仿宋" w:eastAsia="仿宋"/>
          <w:sz w:val="21"/>
          <w:szCs w:val="21"/>
        </w:rPr>
        <w:t>https://s.cyol.com/articles/2021-10/28/content_Da3bq8Cz.html?gid=gDajO4kX</w:t>
      </w:r>
      <w:r>
        <w:rPr>
          <w:rFonts w:ascii="仿宋" w:hAnsi="仿宋" w:eastAsia="仿宋"/>
          <w:sz w:val="21"/>
          <w:szCs w:val="21"/>
        </w:rPr>
        <w:fldChar w:fldCharType="end"/>
      </w:r>
    </w:p>
    <w:p>
      <w:pPr>
        <w:rPr>
          <w:rFonts w:ascii="仿宋" w:hAnsi="仿宋" w:eastAsia="仿宋"/>
          <w:sz w:val="21"/>
          <w:szCs w:val="21"/>
        </w:rPr>
      </w:pPr>
      <w:r>
        <w:rPr>
          <w:rFonts w:ascii="仿宋" w:hAnsi="仿宋" w:eastAsia="仿宋"/>
          <w:sz w:val="21"/>
          <w:szCs w:val="21"/>
        </w:rPr>
        <w:t>2021.11.08</w:t>
      </w:r>
    </w:p>
    <w:p>
      <w:pPr>
        <w:rPr>
          <w:rFonts w:ascii="仿宋" w:hAnsi="仿宋" w:eastAsia="仿宋"/>
          <w:sz w:val="21"/>
          <w:szCs w:val="21"/>
        </w:rPr>
      </w:pPr>
      <w:r>
        <w:rPr>
          <w:rFonts w:ascii="仿宋" w:hAnsi="仿宋" w:eastAsia="仿宋"/>
          <w:sz w:val="21"/>
          <w:szCs w:val="21"/>
        </w:rPr>
        <w:t>北京周报：Saving food is part of a new, green and low-carbon lifestyle</w:t>
      </w:r>
    </w:p>
    <w:p>
      <w:pPr>
        <w:rPr>
          <w:rFonts w:ascii="仿宋" w:hAnsi="仿宋" w:eastAsia="仿宋"/>
          <w:sz w:val="21"/>
          <w:szCs w:val="21"/>
        </w:rPr>
      </w:pPr>
      <w:r>
        <w:fldChar w:fldCharType="begin"/>
      </w:r>
      <w:r>
        <w:instrText xml:space="preserve"> HYPERLINK "http://www.bjreview.com/Lifestyle/202111/t20211108_800262758.html" \t "_blank" </w:instrText>
      </w:r>
      <w:r>
        <w:fldChar w:fldCharType="separate"/>
      </w:r>
      <w:r>
        <w:rPr>
          <w:rFonts w:ascii="仿宋" w:hAnsi="仿宋" w:eastAsia="仿宋"/>
          <w:sz w:val="21"/>
          <w:szCs w:val="21"/>
        </w:rPr>
        <w:t>http://www.bjreview.com/Lifestyle/202111/t20211108_800262758.html</w:t>
      </w:r>
      <w:r>
        <w:rPr>
          <w:rFonts w:ascii="仿宋" w:hAnsi="仿宋" w:eastAsia="仿宋"/>
          <w:sz w:val="21"/>
          <w:szCs w:val="21"/>
        </w:rPr>
        <w:fldChar w:fldCharType="end"/>
      </w:r>
    </w:p>
    <w:p>
      <w:pPr>
        <w:rPr>
          <w:rFonts w:ascii="仿宋" w:hAnsi="仿宋" w:eastAsia="仿宋"/>
          <w:sz w:val="21"/>
          <w:szCs w:val="21"/>
        </w:rPr>
      </w:pPr>
    </w:p>
    <w:p>
      <w:pPr>
        <w:rPr>
          <w:rFonts w:ascii="仿宋" w:hAnsi="仿宋" w:eastAsia="仿宋"/>
          <w:sz w:val="21"/>
          <w:szCs w:val="21"/>
        </w:rPr>
      </w:pPr>
      <w:r>
        <w:rPr>
          <w:rFonts w:ascii="仿宋" w:hAnsi="仿宋" w:eastAsia="仿宋"/>
          <w:sz w:val="21"/>
          <w:szCs w:val="21"/>
        </w:rPr>
        <w:t>2021.11.09</w:t>
      </w:r>
    </w:p>
    <w:p>
      <w:pPr>
        <w:rPr>
          <w:rFonts w:ascii="仿宋" w:hAnsi="仿宋" w:eastAsia="仿宋"/>
          <w:sz w:val="21"/>
          <w:szCs w:val="21"/>
        </w:rPr>
      </w:pPr>
      <w:r>
        <w:rPr>
          <w:rFonts w:ascii="仿宋" w:hAnsi="仿宋" w:eastAsia="仿宋"/>
          <w:sz w:val="21"/>
          <w:szCs w:val="21"/>
        </w:rPr>
        <w:t>首都文明办</w:t>
      </w:r>
      <w:r>
        <w:rPr>
          <w:rFonts w:hint="eastAsia" w:ascii="仿宋" w:hAnsi="仿宋" w:eastAsia="仿宋"/>
          <w:sz w:val="21"/>
          <w:szCs w:val="21"/>
        </w:rPr>
        <w:t>：光盘行动公益基金成立</w:t>
      </w:r>
    </w:p>
    <w:p>
      <w:pPr>
        <w:rPr>
          <w:rFonts w:ascii="仿宋" w:hAnsi="仿宋" w:eastAsia="仿宋"/>
          <w:sz w:val="21"/>
          <w:szCs w:val="21"/>
        </w:rPr>
      </w:pPr>
      <w:r>
        <w:fldChar w:fldCharType="begin"/>
      </w:r>
      <w:r>
        <w:instrText xml:space="preserve"> HYPERLINK "http://www.bjwmb.gov.cn/jrrd/yw/202111/t20211109_868268.htm" \t "_blank" </w:instrText>
      </w:r>
      <w:r>
        <w:fldChar w:fldCharType="separate"/>
      </w:r>
      <w:r>
        <w:rPr>
          <w:rFonts w:ascii="仿宋" w:hAnsi="仿宋" w:eastAsia="仿宋"/>
          <w:sz w:val="21"/>
          <w:szCs w:val="21"/>
        </w:rPr>
        <w:t>http://www.bjwmb.gov.cn/jrrd/yw/202111/t20211109_868268.htm</w:t>
      </w:r>
      <w:r>
        <w:rPr>
          <w:rFonts w:ascii="仿宋" w:hAnsi="仿宋" w:eastAsia="仿宋"/>
          <w:sz w:val="21"/>
          <w:szCs w:val="21"/>
        </w:rPr>
        <w:fldChar w:fldCharType="end"/>
      </w:r>
    </w:p>
    <w:p>
      <w:pPr>
        <w:rPr>
          <w:rFonts w:ascii="仿宋" w:hAnsi="仿宋" w:eastAsia="仿宋"/>
          <w:sz w:val="21"/>
          <w:szCs w:val="21"/>
        </w:rPr>
      </w:pPr>
      <w:r>
        <w:rPr>
          <w:rFonts w:hint="eastAsia" w:ascii="仿宋" w:hAnsi="仿宋" w:eastAsia="仿宋"/>
          <w:sz w:val="21"/>
          <w:szCs w:val="21"/>
        </w:rPr>
        <w:t>北京市人民政府：光盘行动公益基金成立</w:t>
      </w:r>
    </w:p>
    <w:p>
      <w:pPr>
        <w:rPr>
          <w:rFonts w:ascii="仿宋" w:hAnsi="仿宋" w:eastAsia="仿宋"/>
          <w:sz w:val="21"/>
          <w:szCs w:val="21"/>
        </w:rPr>
      </w:pPr>
      <w:r>
        <w:fldChar w:fldCharType="begin"/>
      </w:r>
      <w:r>
        <w:instrText xml:space="preserve"> HYPERLINK "http://www.beijing.gov.cn/ywdt/gzdt/202111/t20211109_2532104.html" \t "_blank" </w:instrText>
      </w:r>
      <w:r>
        <w:fldChar w:fldCharType="separate"/>
      </w:r>
      <w:r>
        <w:rPr>
          <w:rFonts w:ascii="仿宋" w:hAnsi="仿宋" w:eastAsia="仿宋"/>
          <w:sz w:val="21"/>
          <w:szCs w:val="21"/>
        </w:rPr>
        <w:t>http://www.beijing.gov.cn/ywdt/gzdt/202111/t20211109_2532104.html</w:t>
      </w:r>
      <w:r>
        <w:rPr>
          <w:rFonts w:ascii="仿宋" w:hAnsi="仿宋" w:eastAsia="仿宋"/>
          <w:sz w:val="21"/>
          <w:szCs w:val="21"/>
        </w:rPr>
        <w:fldChar w:fldCharType="end"/>
      </w:r>
    </w:p>
    <w:p>
      <w:pPr>
        <w:rPr>
          <w:rFonts w:ascii="仿宋" w:hAnsi="仿宋" w:eastAsia="仿宋"/>
          <w:sz w:val="21"/>
          <w:szCs w:val="21"/>
        </w:rPr>
      </w:pPr>
    </w:p>
    <w:p>
      <w:pPr>
        <w:rPr>
          <w:rFonts w:ascii="仿宋" w:hAnsi="仿宋" w:eastAsia="仿宋"/>
          <w:sz w:val="21"/>
          <w:szCs w:val="21"/>
        </w:rPr>
      </w:pPr>
      <w:r>
        <w:rPr>
          <w:rFonts w:ascii="仿宋" w:hAnsi="仿宋" w:eastAsia="仿宋"/>
          <w:sz w:val="21"/>
          <w:szCs w:val="21"/>
        </w:rPr>
        <w:t>2021.11.17</w:t>
      </w:r>
    </w:p>
    <w:p>
      <w:pPr>
        <w:rPr>
          <w:rFonts w:ascii="仿宋" w:hAnsi="仿宋" w:eastAsia="仿宋"/>
          <w:sz w:val="21"/>
          <w:szCs w:val="21"/>
        </w:rPr>
      </w:pPr>
      <w:r>
        <w:rPr>
          <w:rFonts w:ascii="仿宋" w:hAnsi="仿宋" w:eastAsia="仿宋"/>
          <w:sz w:val="21"/>
          <w:szCs w:val="21"/>
        </w:rPr>
        <w:t>全国青少年生态文明教育中心：美丽中国·青春行动｜首场宣讲，走进首都的绿色生态新发展</w:t>
      </w:r>
    </w:p>
    <w:p>
      <w:pPr>
        <w:rPr>
          <w:rFonts w:ascii="仿宋" w:hAnsi="仿宋" w:eastAsia="仿宋"/>
          <w:sz w:val="21"/>
          <w:szCs w:val="21"/>
        </w:rPr>
      </w:pPr>
      <w:r>
        <w:fldChar w:fldCharType="begin"/>
      </w:r>
      <w:r>
        <w:instrText xml:space="preserve"> HYPERLINK "https://mp.weixin.qq.com/s/rEuW_O_d5MiW6B4h376mRQ" \t "_blank" </w:instrText>
      </w:r>
      <w:r>
        <w:fldChar w:fldCharType="separate"/>
      </w:r>
      <w:r>
        <w:rPr>
          <w:rFonts w:ascii="仿宋" w:hAnsi="仿宋" w:eastAsia="仿宋"/>
          <w:sz w:val="21"/>
          <w:szCs w:val="21"/>
        </w:rPr>
        <w:t>https://mp.weixin.qq.com/s/rEuW_O_d5MiW6B4h376mRQ</w:t>
      </w:r>
      <w:r>
        <w:rPr>
          <w:rFonts w:ascii="仿宋" w:hAnsi="仿宋" w:eastAsia="仿宋"/>
          <w:sz w:val="21"/>
          <w:szCs w:val="21"/>
        </w:rPr>
        <w:fldChar w:fldCharType="end"/>
      </w:r>
    </w:p>
    <w:p>
      <w:pPr>
        <w:rPr>
          <w:rFonts w:ascii="仿宋" w:hAnsi="仿宋" w:eastAsia="仿宋"/>
          <w:sz w:val="21"/>
          <w:szCs w:val="21"/>
        </w:rPr>
      </w:pPr>
    </w:p>
    <w:p>
      <w:pPr>
        <w:rPr>
          <w:rFonts w:ascii="仿宋" w:hAnsi="仿宋" w:eastAsia="仿宋"/>
          <w:sz w:val="21"/>
          <w:szCs w:val="21"/>
        </w:rPr>
      </w:pPr>
      <w:r>
        <w:rPr>
          <w:rFonts w:ascii="仿宋" w:hAnsi="仿宋" w:eastAsia="仿宋"/>
          <w:sz w:val="21"/>
          <w:szCs w:val="21"/>
        </w:rPr>
        <w:t>2021.12.09</w:t>
      </w:r>
    </w:p>
    <w:p>
      <w:pPr>
        <w:rPr>
          <w:rFonts w:ascii="仿宋" w:hAnsi="仿宋" w:eastAsia="仿宋"/>
          <w:sz w:val="21"/>
          <w:szCs w:val="21"/>
        </w:rPr>
      </w:pPr>
      <w:r>
        <w:rPr>
          <w:rFonts w:hint="eastAsia" w:ascii="仿宋" w:hAnsi="仿宋" w:eastAsia="仿宋"/>
          <w:sz w:val="21"/>
          <w:szCs w:val="21"/>
        </w:rPr>
        <w:t>共青团中央：热议！学习贯彻党的十九届六中全会精神， 全国青年环保组织骨干这样说……</w:t>
      </w:r>
    </w:p>
    <w:p>
      <w:pPr>
        <w:rPr>
          <w:rFonts w:ascii="仿宋" w:hAnsi="仿宋" w:eastAsia="仿宋"/>
          <w:sz w:val="21"/>
          <w:szCs w:val="21"/>
        </w:rPr>
      </w:pPr>
      <w:r>
        <w:fldChar w:fldCharType="begin"/>
      </w:r>
      <w:r>
        <w:instrText xml:space="preserve"> HYPERLINK "https://mp.weixin.qq.com/s/q61KmvUW6eFZrpFWw_nL1A" \t "_blank" </w:instrText>
      </w:r>
      <w:r>
        <w:fldChar w:fldCharType="separate"/>
      </w:r>
      <w:r>
        <w:rPr>
          <w:rFonts w:ascii="仿宋" w:hAnsi="仿宋" w:eastAsia="仿宋"/>
          <w:sz w:val="21"/>
          <w:szCs w:val="21"/>
        </w:rPr>
        <w:t>https://mp.weixin.qq.com/s/q61KmvUW6eFZrpFWw_nL1A</w:t>
      </w:r>
      <w:r>
        <w:rPr>
          <w:rFonts w:ascii="仿宋" w:hAnsi="仿宋" w:eastAsia="仿宋"/>
          <w:sz w:val="21"/>
          <w:szCs w:val="21"/>
        </w:rPr>
        <w:fldChar w:fldCharType="end"/>
      </w:r>
    </w:p>
    <w:p>
      <w:pPr>
        <w:rPr>
          <w:rFonts w:ascii="仿宋" w:hAnsi="仿宋" w:eastAsia="仿宋"/>
          <w:sz w:val="21"/>
          <w:szCs w:val="21"/>
        </w:rPr>
      </w:pPr>
      <w:r>
        <w:rPr>
          <w:rFonts w:ascii="仿宋" w:hAnsi="仿宋" w:eastAsia="仿宋"/>
          <w:sz w:val="21"/>
          <w:szCs w:val="21"/>
        </w:rPr>
        <w:t>新华网：科技创新 彰显公益力量——科技创新赋能公益广告活动在京举行</w:t>
      </w:r>
    </w:p>
    <w:p>
      <w:pPr>
        <w:rPr>
          <w:rFonts w:ascii="仿宋" w:hAnsi="仿宋" w:eastAsia="仿宋"/>
          <w:sz w:val="21"/>
          <w:szCs w:val="21"/>
        </w:rPr>
      </w:pPr>
      <w:r>
        <w:fldChar w:fldCharType="begin"/>
      </w:r>
      <w:r>
        <w:instrText xml:space="preserve"> HYPERLINK "http://www.news.cn/gongyi/2021-12/09/c_1211480225.htm" \t "_blank" </w:instrText>
      </w:r>
      <w:r>
        <w:fldChar w:fldCharType="separate"/>
      </w:r>
      <w:r>
        <w:rPr>
          <w:rFonts w:ascii="仿宋" w:hAnsi="仿宋" w:eastAsia="仿宋"/>
          <w:sz w:val="21"/>
          <w:szCs w:val="21"/>
        </w:rPr>
        <w:t>http://www.news.cn/gongyi/2021-12/09/c_1211480225.htm</w:t>
      </w:r>
      <w:r>
        <w:rPr>
          <w:rFonts w:ascii="仿宋" w:hAnsi="仿宋" w:eastAsia="仿宋"/>
          <w:sz w:val="21"/>
          <w:szCs w:val="21"/>
        </w:rPr>
        <w:fldChar w:fldCharType="end"/>
      </w:r>
    </w:p>
    <w:p>
      <w:pPr>
        <w:rPr>
          <w:rFonts w:ascii="仿宋" w:hAnsi="仿宋" w:eastAsia="仿宋"/>
          <w:sz w:val="21"/>
          <w:szCs w:val="21"/>
        </w:rPr>
      </w:pPr>
    </w:p>
    <w:p>
      <w:pPr>
        <w:rPr>
          <w:rFonts w:ascii="仿宋" w:hAnsi="仿宋" w:eastAsia="仿宋"/>
          <w:sz w:val="21"/>
          <w:szCs w:val="21"/>
        </w:rPr>
      </w:pPr>
      <w:r>
        <w:rPr>
          <w:rFonts w:ascii="仿宋" w:hAnsi="仿宋" w:eastAsia="仿宋"/>
          <w:sz w:val="21"/>
          <w:szCs w:val="21"/>
        </w:rPr>
        <w:t>2021.12.10</w:t>
      </w:r>
    </w:p>
    <w:p>
      <w:pPr>
        <w:rPr>
          <w:rFonts w:ascii="仿宋" w:hAnsi="仿宋" w:eastAsia="仿宋"/>
          <w:sz w:val="21"/>
          <w:szCs w:val="21"/>
        </w:rPr>
      </w:pPr>
      <w:r>
        <w:rPr>
          <w:rFonts w:ascii="仿宋" w:hAnsi="仿宋" w:eastAsia="仿宋"/>
          <w:sz w:val="21"/>
          <w:szCs w:val="21"/>
        </w:rPr>
        <w:t>新华社客户端：第四届百城千校光盘&amp;自带餐具挑战圆满结束</w:t>
      </w:r>
    </w:p>
    <w:p>
      <w:pPr>
        <w:rPr>
          <w:rFonts w:ascii="仿宋" w:hAnsi="仿宋" w:eastAsia="仿宋"/>
          <w:sz w:val="21"/>
          <w:szCs w:val="21"/>
        </w:rPr>
      </w:pPr>
      <w:r>
        <w:fldChar w:fldCharType="begin"/>
      </w:r>
      <w:r>
        <w:instrText xml:space="preserve"> HYPERLINK "https://xhpfmapi.xinhuaxmt.com/vh512/share/10451222?isview=1&amp;homeshow=0&amp;newstype=1001" \t "_blank" </w:instrText>
      </w:r>
      <w:r>
        <w:fldChar w:fldCharType="separate"/>
      </w:r>
      <w:r>
        <w:rPr>
          <w:rFonts w:ascii="仿宋" w:hAnsi="仿宋" w:eastAsia="仿宋"/>
          <w:sz w:val="21"/>
          <w:szCs w:val="21"/>
        </w:rPr>
        <w:t>https://xhpfmapi.xinhuaxmt.com/vh512/share/10451222?isview=1&amp;homeshow=0&amp;newstype=1001</w:t>
      </w:r>
      <w:r>
        <w:rPr>
          <w:rFonts w:ascii="仿宋" w:hAnsi="仿宋" w:eastAsia="仿宋"/>
          <w:sz w:val="21"/>
          <w:szCs w:val="21"/>
        </w:rPr>
        <w:fldChar w:fldCharType="end"/>
      </w:r>
    </w:p>
    <w:p>
      <w:pPr>
        <w:rPr>
          <w:rFonts w:ascii="仿宋" w:hAnsi="仿宋" w:eastAsia="仿宋"/>
          <w:sz w:val="21"/>
          <w:szCs w:val="21"/>
        </w:rPr>
      </w:pPr>
      <w:r>
        <w:rPr>
          <w:rFonts w:ascii="仿宋" w:hAnsi="仿宋" w:eastAsia="仿宋"/>
          <w:sz w:val="21"/>
          <w:szCs w:val="21"/>
        </w:rPr>
        <w:t>网易新闻客户端：第四届百城千校光盘&amp;自带餐具挑战圆满结束</w:t>
      </w:r>
    </w:p>
    <w:p>
      <w:pPr>
        <w:rPr>
          <w:rFonts w:ascii="仿宋" w:hAnsi="仿宋" w:eastAsia="仿宋"/>
          <w:sz w:val="21"/>
          <w:szCs w:val="21"/>
        </w:rPr>
      </w:pPr>
      <w:r>
        <w:fldChar w:fldCharType="begin"/>
      </w:r>
      <w:r>
        <w:instrText xml:space="preserve"> HYPERLINK "https://3g.163.com/local/article/GQS34AO304149AG9.html" \t "_blank" </w:instrText>
      </w:r>
      <w:r>
        <w:fldChar w:fldCharType="separate"/>
      </w:r>
      <w:r>
        <w:rPr>
          <w:rFonts w:ascii="仿宋" w:hAnsi="仿宋" w:eastAsia="仿宋"/>
          <w:sz w:val="21"/>
          <w:szCs w:val="21"/>
        </w:rPr>
        <w:t>https://3g.163.com/local/article/GQS34AO304149AG9.html</w:t>
      </w:r>
      <w:r>
        <w:rPr>
          <w:rFonts w:ascii="仿宋" w:hAnsi="仿宋" w:eastAsia="仿宋"/>
          <w:sz w:val="21"/>
          <w:szCs w:val="21"/>
        </w:rPr>
        <w:fldChar w:fldCharType="end"/>
      </w:r>
    </w:p>
    <w:p>
      <w:pPr>
        <w:rPr>
          <w:rFonts w:ascii="仿宋" w:hAnsi="仿宋" w:eastAsia="仿宋"/>
          <w:sz w:val="21"/>
          <w:szCs w:val="21"/>
        </w:rPr>
      </w:pPr>
      <w:r>
        <w:rPr>
          <w:rFonts w:ascii="仿宋" w:hAnsi="仿宋" w:eastAsia="仿宋"/>
          <w:sz w:val="21"/>
          <w:szCs w:val="21"/>
        </w:rPr>
        <w:t>搜狐：第四届百城千校光盘&amp;自带餐具挑战圆满结束</w:t>
      </w:r>
    </w:p>
    <w:p>
      <w:pPr>
        <w:rPr>
          <w:rFonts w:ascii="仿宋" w:hAnsi="仿宋" w:eastAsia="仿宋"/>
          <w:sz w:val="21"/>
          <w:szCs w:val="21"/>
        </w:rPr>
      </w:pPr>
      <w:r>
        <w:fldChar w:fldCharType="begin"/>
      </w:r>
      <w:r>
        <w:instrText xml:space="preserve"> HYPERLINK "https://www.sohu.com/a/506895799_120985024" \t "_blank" </w:instrText>
      </w:r>
      <w:r>
        <w:fldChar w:fldCharType="separate"/>
      </w:r>
      <w:r>
        <w:rPr>
          <w:rFonts w:ascii="仿宋" w:hAnsi="仿宋" w:eastAsia="仿宋"/>
          <w:sz w:val="21"/>
          <w:szCs w:val="21"/>
        </w:rPr>
        <w:t>https://www.sohu.com/a/506895799_120985024</w:t>
      </w:r>
      <w:r>
        <w:rPr>
          <w:rFonts w:ascii="仿宋" w:hAnsi="仿宋" w:eastAsia="仿宋"/>
          <w:sz w:val="21"/>
          <w:szCs w:val="21"/>
        </w:rPr>
        <w:fldChar w:fldCharType="end"/>
      </w:r>
    </w:p>
    <w:p>
      <w:pPr>
        <w:rPr>
          <w:rFonts w:ascii="仿宋" w:hAnsi="仿宋" w:eastAsia="仿宋"/>
          <w:sz w:val="21"/>
          <w:szCs w:val="21"/>
        </w:rPr>
      </w:pPr>
      <w:r>
        <w:rPr>
          <w:rFonts w:ascii="仿宋" w:hAnsi="仿宋" w:eastAsia="仿宋"/>
          <w:sz w:val="21"/>
          <w:szCs w:val="21"/>
        </w:rPr>
        <w:t>环球公益网：第四届百城千校光盘&amp;自带餐具挑战圆满结束</w:t>
      </w:r>
    </w:p>
    <w:p>
      <w:pPr>
        <w:rPr>
          <w:rFonts w:ascii="仿宋" w:hAnsi="仿宋" w:eastAsia="仿宋"/>
          <w:sz w:val="21"/>
          <w:szCs w:val="21"/>
        </w:rPr>
      </w:pPr>
      <w:r>
        <w:fldChar w:fldCharType="begin"/>
      </w:r>
      <w:r>
        <w:instrText xml:space="preserve"> HYPERLINK "http://www.xrssp.cn/1950.html" \t "_blank" </w:instrText>
      </w:r>
      <w:r>
        <w:fldChar w:fldCharType="separate"/>
      </w:r>
      <w:r>
        <w:rPr>
          <w:rFonts w:ascii="仿宋" w:hAnsi="仿宋" w:eastAsia="仿宋"/>
          <w:sz w:val="21"/>
          <w:szCs w:val="21"/>
        </w:rPr>
        <w:t>http://www.xrssp.cn/1950.html</w:t>
      </w:r>
      <w:r>
        <w:rPr>
          <w:rFonts w:ascii="仿宋" w:hAnsi="仿宋" w:eastAsia="仿宋"/>
          <w:sz w:val="21"/>
          <w:szCs w:val="21"/>
        </w:rPr>
        <w:fldChar w:fldCharType="end"/>
      </w:r>
    </w:p>
    <w:p>
      <w:pPr>
        <w:rPr>
          <w:rFonts w:ascii="仿宋" w:hAnsi="仿宋" w:eastAsia="仿宋"/>
          <w:sz w:val="21"/>
          <w:szCs w:val="21"/>
        </w:rPr>
      </w:pPr>
      <w:r>
        <w:rPr>
          <w:rFonts w:ascii="仿宋" w:hAnsi="仿宋" w:eastAsia="仿宋"/>
          <w:sz w:val="21"/>
          <w:szCs w:val="21"/>
        </w:rPr>
        <w:t>中国公益在线：第四届百城千校光盘&amp;自带餐具挑战圆满结束</w:t>
      </w:r>
    </w:p>
    <w:p>
      <w:pPr>
        <w:rPr>
          <w:rFonts w:ascii="仿宋" w:hAnsi="仿宋" w:eastAsia="仿宋"/>
          <w:sz w:val="21"/>
          <w:szCs w:val="21"/>
        </w:rPr>
      </w:pPr>
      <w:r>
        <w:fldChar w:fldCharType="begin"/>
      </w:r>
      <w:r>
        <w:instrText xml:space="preserve"> HYPERLINK "http://www.cq828.cn/xwzx/27660.html" \t "_blank" </w:instrText>
      </w:r>
      <w:r>
        <w:fldChar w:fldCharType="separate"/>
      </w:r>
      <w:r>
        <w:rPr>
          <w:rFonts w:ascii="仿宋" w:hAnsi="仿宋" w:eastAsia="仿宋"/>
          <w:sz w:val="21"/>
          <w:szCs w:val="21"/>
        </w:rPr>
        <w:t>http://www.cq828.cn/xwzx/27660.html</w:t>
      </w:r>
      <w:r>
        <w:rPr>
          <w:rFonts w:ascii="仿宋" w:hAnsi="仿宋" w:eastAsia="仿宋"/>
          <w:sz w:val="21"/>
          <w:szCs w:val="21"/>
        </w:rPr>
        <w:fldChar w:fldCharType="end"/>
      </w:r>
    </w:p>
    <w:p>
      <w:pPr>
        <w:rPr>
          <w:rFonts w:ascii="仿宋" w:hAnsi="仿宋" w:eastAsia="仿宋"/>
          <w:sz w:val="21"/>
          <w:szCs w:val="21"/>
        </w:rPr>
      </w:pPr>
      <w:r>
        <w:rPr>
          <w:rFonts w:ascii="仿宋" w:hAnsi="仿宋" w:eastAsia="仿宋"/>
          <w:sz w:val="21"/>
          <w:szCs w:val="21"/>
        </w:rPr>
        <w:t>中国网：第四届百城千校光盘&amp;自带餐具挑战圆满结束</w:t>
      </w:r>
    </w:p>
    <w:p>
      <w:pPr>
        <w:rPr>
          <w:rFonts w:ascii="仿宋" w:hAnsi="仿宋" w:eastAsia="仿宋"/>
          <w:sz w:val="21"/>
          <w:szCs w:val="21"/>
        </w:rPr>
      </w:pPr>
      <w:r>
        <w:fldChar w:fldCharType="begin"/>
      </w:r>
      <w:r>
        <w:instrText xml:space="preserve"> HYPERLINK "http://hsqz.china.com.cn/chinanet/index.php/Home/Index/readcontent/contentid/31926" \t "_blank" </w:instrText>
      </w:r>
      <w:r>
        <w:fldChar w:fldCharType="separate"/>
      </w:r>
      <w:r>
        <w:rPr>
          <w:rFonts w:ascii="仿宋" w:hAnsi="仿宋" w:eastAsia="仿宋"/>
          <w:sz w:val="21"/>
          <w:szCs w:val="21"/>
        </w:rPr>
        <w:t>http://hsqz.china.com.cn/chinanet/index.php/Home/Index/readcontent/contentid/31926</w:t>
      </w:r>
      <w:r>
        <w:rPr>
          <w:rFonts w:ascii="仿宋" w:hAnsi="仿宋" w:eastAsia="仿宋"/>
          <w:sz w:val="21"/>
          <w:szCs w:val="21"/>
        </w:rPr>
        <w:fldChar w:fldCharType="end"/>
      </w:r>
    </w:p>
    <w:sectPr>
      <w:footerReference r:id="rId3" w:type="default"/>
      <w:pgSz w:w="11906" w:h="16838"/>
      <w:pgMar w:top="1440" w:right="1800" w:bottom="1440" w:left="1800" w:header="851" w:footer="567" w:gutter="0"/>
      <w:cols w:space="720"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方正小标宋简体">
    <w:altName w:val="微软雅黑"/>
    <w:panose1 w:val="00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Trebuchet MS">
    <w:panose1 w:val="020B0603020202020204"/>
    <w:charset w:val="00"/>
    <w:family w:val="swiss"/>
    <w:pitch w:val="default"/>
    <w:sig w:usb0="000006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ajorHAnsi" w:hAnsiTheme="majorHAnsi"/>
        <w:sz w:val="28"/>
        <w:szCs w:val="28"/>
        <w:lang w:val="zh-CN"/>
      </w:rPr>
      <w:id w:val="58810297"/>
      <w:docPartObj>
        <w:docPartGallery w:val="AutoText"/>
      </w:docPartObj>
    </w:sdtPr>
    <w:sdtEndPr>
      <w:rPr>
        <w:rFonts w:eastAsia="仿宋" w:asciiTheme="minorHAnsi" w:hAnsiTheme="minorHAnsi" w:cstheme="minorHAnsi"/>
        <w:sz w:val="21"/>
        <w:szCs w:val="21"/>
        <w:lang w:val="zh-CN"/>
      </w:rPr>
    </w:sdtEndPr>
    <w:sdtContent>
      <w:p>
        <w:pPr>
          <w:pStyle w:val="6"/>
          <w:ind w:left="390"/>
          <w:jc w:val="center"/>
          <w:rPr>
            <w:rFonts w:eastAsia="仿宋" w:asciiTheme="minorHAnsi" w:hAnsiTheme="minorHAnsi" w:cstheme="minorHAnsi"/>
            <w:sz w:val="21"/>
            <w:szCs w:val="21"/>
          </w:rPr>
        </w:pPr>
        <w:r>
          <w:rPr>
            <w:rFonts w:eastAsia="仿宋" w:asciiTheme="minorHAnsi" w:hAnsiTheme="minorHAnsi" w:cstheme="minorHAnsi"/>
            <w:sz w:val="21"/>
            <w:szCs w:val="21"/>
            <w:lang w:val="zh-CN"/>
          </w:rPr>
          <w:t>—</w:t>
        </w:r>
        <w:r>
          <w:rPr>
            <w:rFonts w:hint="eastAsia" w:eastAsia="仿宋" w:asciiTheme="minorHAnsi" w:hAnsiTheme="minorHAnsi" w:cstheme="minorHAnsi"/>
            <w:sz w:val="21"/>
            <w:szCs w:val="21"/>
            <w:lang w:val="zh-CN"/>
          </w:rPr>
          <w:t xml:space="preserve"> </w:t>
        </w:r>
        <w:r>
          <w:rPr>
            <w:rFonts w:eastAsia="仿宋" w:asciiTheme="minorHAnsi" w:hAnsiTheme="minorHAnsi" w:cstheme="minorHAnsi"/>
            <w:sz w:val="21"/>
            <w:szCs w:val="21"/>
          </w:rPr>
          <w:fldChar w:fldCharType="begin"/>
        </w:r>
        <w:r>
          <w:rPr>
            <w:rFonts w:eastAsia="仿宋" w:asciiTheme="minorHAnsi" w:hAnsiTheme="minorHAnsi" w:cstheme="minorHAnsi"/>
            <w:sz w:val="21"/>
            <w:szCs w:val="21"/>
          </w:rPr>
          <w:instrText xml:space="preserve"> PAGE    \* MERGEFORMAT </w:instrText>
        </w:r>
        <w:r>
          <w:rPr>
            <w:rFonts w:eastAsia="仿宋" w:asciiTheme="minorHAnsi" w:hAnsiTheme="minorHAnsi" w:cstheme="minorHAnsi"/>
            <w:sz w:val="21"/>
            <w:szCs w:val="21"/>
          </w:rPr>
          <w:fldChar w:fldCharType="separate"/>
        </w:r>
        <w:r>
          <w:rPr>
            <w:rFonts w:eastAsia="仿宋" w:asciiTheme="minorHAnsi" w:hAnsiTheme="minorHAnsi" w:cstheme="minorHAnsi"/>
            <w:sz w:val="21"/>
            <w:szCs w:val="21"/>
            <w:lang w:val="zh-CN"/>
          </w:rPr>
          <w:t>18</w:t>
        </w:r>
        <w:r>
          <w:rPr>
            <w:rFonts w:eastAsia="仿宋" w:asciiTheme="minorHAnsi" w:hAnsiTheme="minorHAnsi" w:cstheme="minorHAnsi"/>
            <w:sz w:val="21"/>
            <w:szCs w:val="21"/>
          </w:rPr>
          <w:fldChar w:fldCharType="end"/>
        </w:r>
        <w:r>
          <w:rPr>
            <w:rFonts w:eastAsia="仿宋" w:asciiTheme="minorHAnsi" w:hAnsiTheme="minorHAnsi" w:cstheme="minorHAnsi"/>
            <w:sz w:val="21"/>
            <w:szCs w:val="21"/>
            <w:lang w:val="zh-CN"/>
          </w:rPr>
          <w:t xml:space="preserve"> —</w:t>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C101BE"/>
    <w:multiLevelType w:val="multilevel"/>
    <w:tmpl w:val="01C101B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3B364C39"/>
    <w:multiLevelType w:val="multilevel"/>
    <w:tmpl w:val="3B364C39"/>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3D662007"/>
    <w:multiLevelType w:val="multilevel"/>
    <w:tmpl w:val="3D662007"/>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5AF1561"/>
    <w:multiLevelType w:val="multilevel"/>
    <w:tmpl w:val="45AF1561"/>
    <w:lvl w:ilvl="0" w:tentative="0">
      <w:start w:val="1"/>
      <w:numFmt w:val="japaneseCounting"/>
      <w:lvlText w:val="%1）"/>
      <w:lvlJc w:val="left"/>
      <w:pPr>
        <w:ind w:left="480" w:hanging="48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HorizontalSpacing w:val="140"/>
  <w:drawingGridVerticalSpacing w:val="381"/>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0D8"/>
    <w:rsid w:val="000031ED"/>
    <w:rsid w:val="000035EA"/>
    <w:rsid w:val="00007AAB"/>
    <w:rsid w:val="0001015F"/>
    <w:rsid w:val="000105F7"/>
    <w:rsid w:val="00010F67"/>
    <w:rsid w:val="000116CB"/>
    <w:rsid w:val="000124A5"/>
    <w:rsid w:val="000126A2"/>
    <w:rsid w:val="00012A03"/>
    <w:rsid w:val="00012D59"/>
    <w:rsid w:val="00014A0F"/>
    <w:rsid w:val="00015807"/>
    <w:rsid w:val="00017117"/>
    <w:rsid w:val="00020AFE"/>
    <w:rsid w:val="00020E78"/>
    <w:rsid w:val="00024623"/>
    <w:rsid w:val="000250AD"/>
    <w:rsid w:val="0002654C"/>
    <w:rsid w:val="000265B2"/>
    <w:rsid w:val="00027884"/>
    <w:rsid w:val="00030F7B"/>
    <w:rsid w:val="0003335B"/>
    <w:rsid w:val="000354EE"/>
    <w:rsid w:val="000374BC"/>
    <w:rsid w:val="00037EEF"/>
    <w:rsid w:val="00043AC8"/>
    <w:rsid w:val="000524AB"/>
    <w:rsid w:val="00053407"/>
    <w:rsid w:val="000545F5"/>
    <w:rsid w:val="00055EAF"/>
    <w:rsid w:val="00056654"/>
    <w:rsid w:val="00056690"/>
    <w:rsid w:val="00061145"/>
    <w:rsid w:val="00065322"/>
    <w:rsid w:val="00066BA8"/>
    <w:rsid w:val="000762CD"/>
    <w:rsid w:val="0008101F"/>
    <w:rsid w:val="00081367"/>
    <w:rsid w:val="000822CF"/>
    <w:rsid w:val="00085BBC"/>
    <w:rsid w:val="00085D01"/>
    <w:rsid w:val="00087EB6"/>
    <w:rsid w:val="00090C20"/>
    <w:rsid w:val="00090F58"/>
    <w:rsid w:val="000937DE"/>
    <w:rsid w:val="00094F38"/>
    <w:rsid w:val="000A0EF1"/>
    <w:rsid w:val="000A36E0"/>
    <w:rsid w:val="000A6627"/>
    <w:rsid w:val="000B2ABD"/>
    <w:rsid w:val="000B49CE"/>
    <w:rsid w:val="000B4ECC"/>
    <w:rsid w:val="000B590E"/>
    <w:rsid w:val="000B5A6E"/>
    <w:rsid w:val="000C60AA"/>
    <w:rsid w:val="000D1317"/>
    <w:rsid w:val="000D3F8B"/>
    <w:rsid w:val="000D7294"/>
    <w:rsid w:val="000D758B"/>
    <w:rsid w:val="000E3C23"/>
    <w:rsid w:val="000E4E5D"/>
    <w:rsid w:val="000F1DAE"/>
    <w:rsid w:val="000F2ED2"/>
    <w:rsid w:val="000F3365"/>
    <w:rsid w:val="00100DFD"/>
    <w:rsid w:val="00102F41"/>
    <w:rsid w:val="00103B9F"/>
    <w:rsid w:val="00104753"/>
    <w:rsid w:val="00105B57"/>
    <w:rsid w:val="001061BC"/>
    <w:rsid w:val="0011226B"/>
    <w:rsid w:val="0011275F"/>
    <w:rsid w:val="00114160"/>
    <w:rsid w:val="0011530C"/>
    <w:rsid w:val="00120029"/>
    <w:rsid w:val="001207E8"/>
    <w:rsid w:val="00121DCF"/>
    <w:rsid w:val="001241D4"/>
    <w:rsid w:val="001250EF"/>
    <w:rsid w:val="00125AAB"/>
    <w:rsid w:val="00125E31"/>
    <w:rsid w:val="00131C10"/>
    <w:rsid w:val="0013445E"/>
    <w:rsid w:val="00135A85"/>
    <w:rsid w:val="00136064"/>
    <w:rsid w:val="001369DA"/>
    <w:rsid w:val="0014356A"/>
    <w:rsid w:val="001440BF"/>
    <w:rsid w:val="00147144"/>
    <w:rsid w:val="0015201E"/>
    <w:rsid w:val="0015246E"/>
    <w:rsid w:val="001535E4"/>
    <w:rsid w:val="00155991"/>
    <w:rsid w:val="0015722C"/>
    <w:rsid w:val="00161C42"/>
    <w:rsid w:val="00166EC9"/>
    <w:rsid w:val="001700AC"/>
    <w:rsid w:val="00170D0A"/>
    <w:rsid w:val="0017295D"/>
    <w:rsid w:val="00173E68"/>
    <w:rsid w:val="00175823"/>
    <w:rsid w:val="001766A8"/>
    <w:rsid w:val="00176AD8"/>
    <w:rsid w:val="00184A20"/>
    <w:rsid w:val="00184CCD"/>
    <w:rsid w:val="0018778F"/>
    <w:rsid w:val="00187FB6"/>
    <w:rsid w:val="00197D9F"/>
    <w:rsid w:val="00197ECD"/>
    <w:rsid w:val="001A5CFD"/>
    <w:rsid w:val="001B4506"/>
    <w:rsid w:val="001B647D"/>
    <w:rsid w:val="001B77E4"/>
    <w:rsid w:val="001B78FE"/>
    <w:rsid w:val="001C1356"/>
    <w:rsid w:val="001D21AC"/>
    <w:rsid w:val="001D4B86"/>
    <w:rsid w:val="001D4C79"/>
    <w:rsid w:val="001E5819"/>
    <w:rsid w:val="001F4AED"/>
    <w:rsid w:val="001F513A"/>
    <w:rsid w:val="001F6A1E"/>
    <w:rsid w:val="002013EB"/>
    <w:rsid w:val="00202A94"/>
    <w:rsid w:val="00203E87"/>
    <w:rsid w:val="002058C5"/>
    <w:rsid w:val="002074BA"/>
    <w:rsid w:val="00210A39"/>
    <w:rsid w:val="00214D3C"/>
    <w:rsid w:val="002205D3"/>
    <w:rsid w:val="00220B26"/>
    <w:rsid w:val="00221DD1"/>
    <w:rsid w:val="00223F84"/>
    <w:rsid w:val="00224F47"/>
    <w:rsid w:val="002368EF"/>
    <w:rsid w:val="00240D97"/>
    <w:rsid w:val="00247AA8"/>
    <w:rsid w:val="002504BC"/>
    <w:rsid w:val="00250F4C"/>
    <w:rsid w:val="00252BEF"/>
    <w:rsid w:val="00256512"/>
    <w:rsid w:val="00256697"/>
    <w:rsid w:val="00257B23"/>
    <w:rsid w:val="0026015B"/>
    <w:rsid w:val="00260A9B"/>
    <w:rsid w:val="00261760"/>
    <w:rsid w:val="00262733"/>
    <w:rsid w:val="00264FF5"/>
    <w:rsid w:val="002652E2"/>
    <w:rsid w:val="0026755A"/>
    <w:rsid w:val="00270A71"/>
    <w:rsid w:val="00271247"/>
    <w:rsid w:val="00271A5B"/>
    <w:rsid w:val="00277361"/>
    <w:rsid w:val="0029001D"/>
    <w:rsid w:val="00292B6F"/>
    <w:rsid w:val="00292D75"/>
    <w:rsid w:val="00295BDD"/>
    <w:rsid w:val="002975D2"/>
    <w:rsid w:val="002A1139"/>
    <w:rsid w:val="002A66F5"/>
    <w:rsid w:val="002A760C"/>
    <w:rsid w:val="002B28EE"/>
    <w:rsid w:val="002B53C8"/>
    <w:rsid w:val="002B66C8"/>
    <w:rsid w:val="002B7EAA"/>
    <w:rsid w:val="002C0020"/>
    <w:rsid w:val="002C7060"/>
    <w:rsid w:val="002E00A3"/>
    <w:rsid w:val="002E095F"/>
    <w:rsid w:val="002E0E53"/>
    <w:rsid w:val="002E3D1A"/>
    <w:rsid w:val="002E5C8A"/>
    <w:rsid w:val="002E7A01"/>
    <w:rsid w:val="002F1609"/>
    <w:rsid w:val="002F1800"/>
    <w:rsid w:val="002F2266"/>
    <w:rsid w:val="002F2ED9"/>
    <w:rsid w:val="002F40D8"/>
    <w:rsid w:val="002F482D"/>
    <w:rsid w:val="002F4907"/>
    <w:rsid w:val="00300AD5"/>
    <w:rsid w:val="00301B9E"/>
    <w:rsid w:val="003041DA"/>
    <w:rsid w:val="003043E2"/>
    <w:rsid w:val="00306EBA"/>
    <w:rsid w:val="003210D1"/>
    <w:rsid w:val="00332763"/>
    <w:rsid w:val="00333457"/>
    <w:rsid w:val="003345F5"/>
    <w:rsid w:val="00334A90"/>
    <w:rsid w:val="00336E1E"/>
    <w:rsid w:val="00340DF7"/>
    <w:rsid w:val="00343C19"/>
    <w:rsid w:val="00343F0D"/>
    <w:rsid w:val="003444DB"/>
    <w:rsid w:val="003453E8"/>
    <w:rsid w:val="00346D9A"/>
    <w:rsid w:val="003530B0"/>
    <w:rsid w:val="003553D7"/>
    <w:rsid w:val="00356BD1"/>
    <w:rsid w:val="00357F8C"/>
    <w:rsid w:val="00361CF6"/>
    <w:rsid w:val="00362422"/>
    <w:rsid w:val="00363D5A"/>
    <w:rsid w:val="00364D0B"/>
    <w:rsid w:val="00366FDD"/>
    <w:rsid w:val="00367C40"/>
    <w:rsid w:val="00371296"/>
    <w:rsid w:val="003713F3"/>
    <w:rsid w:val="003757CA"/>
    <w:rsid w:val="00375C66"/>
    <w:rsid w:val="00375FAF"/>
    <w:rsid w:val="00391272"/>
    <w:rsid w:val="00391F9F"/>
    <w:rsid w:val="00392039"/>
    <w:rsid w:val="00393005"/>
    <w:rsid w:val="003933E4"/>
    <w:rsid w:val="003952AC"/>
    <w:rsid w:val="00397047"/>
    <w:rsid w:val="003A648D"/>
    <w:rsid w:val="003B14B7"/>
    <w:rsid w:val="003B3A56"/>
    <w:rsid w:val="003B3FF7"/>
    <w:rsid w:val="003B4769"/>
    <w:rsid w:val="003B515B"/>
    <w:rsid w:val="003C031C"/>
    <w:rsid w:val="003D0F2B"/>
    <w:rsid w:val="003D1D4B"/>
    <w:rsid w:val="003D2421"/>
    <w:rsid w:val="003E18C8"/>
    <w:rsid w:val="003E37D0"/>
    <w:rsid w:val="003E3FD6"/>
    <w:rsid w:val="003E4894"/>
    <w:rsid w:val="003F045F"/>
    <w:rsid w:val="003F1D55"/>
    <w:rsid w:val="003F374C"/>
    <w:rsid w:val="00403552"/>
    <w:rsid w:val="00404C34"/>
    <w:rsid w:val="0041112B"/>
    <w:rsid w:val="00413F6F"/>
    <w:rsid w:val="004140C8"/>
    <w:rsid w:val="00420E25"/>
    <w:rsid w:val="00420EB4"/>
    <w:rsid w:val="00423560"/>
    <w:rsid w:val="00423B83"/>
    <w:rsid w:val="00423C98"/>
    <w:rsid w:val="00424D41"/>
    <w:rsid w:val="00430A79"/>
    <w:rsid w:val="004356FD"/>
    <w:rsid w:val="00443B10"/>
    <w:rsid w:val="00457FCC"/>
    <w:rsid w:val="0046021E"/>
    <w:rsid w:val="00463B2E"/>
    <w:rsid w:val="00466717"/>
    <w:rsid w:val="0047191E"/>
    <w:rsid w:val="00472983"/>
    <w:rsid w:val="004764F9"/>
    <w:rsid w:val="00476B7B"/>
    <w:rsid w:val="00482A20"/>
    <w:rsid w:val="00490223"/>
    <w:rsid w:val="00497045"/>
    <w:rsid w:val="004A1301"/>
    <w:rsid w:val="004A274F"/>
    <w:rsid w:val="004A55A8"/>
    <w:rsid w:val="004A60FA"/>
    <w:rsid w:val="004B0725"/>
    <w:rsid w:val="004B15E1"/>
    <w:rsid w:val="004B2215"/>
    <w:rsid w:val="004B22CD"/>
    <w:rsid w:val="004B23B0"/>
    <w:rsid w:val="004B4207"/>
    <w:rsid w:val="004C15D2"/>
    <w:rsid w:val="004C23CC"/>
    <w:rsid w:val="004D1C43"/>
    <w:rsid w:val="004D1F54"/>
    <w:rsid w:val="004D3089"/>
    <w:rsid w:val="004E0B23"/>
    <w:rsid w:val="004E0B2D"/>
    <w:rsid w:val="004E1503"/>
    <w:rsid w:val="004E57F3"/>
    <w:rsid w:val="004F4300"/>
    <w:rsid w:val="004F4B27"/>
    <w:rsid w:val="004F4E63"/>
    <w:rsid w:val="004F55C2"/>
    <w:rsid w:val="00500343"/>
    <w:rsid w:val="00501B52"/>
    <w:rsid w:val="00503D1B"/>
    <w:rsid w:val="00504196"/>
    <w:rsid w:val="005108C9"/>
    <w:rsid w:val="00515657"/>
    <w:rsid w:val="00517D49"/>
    <w:rsid w:val="0052381C"/>
    <w:rsid w:val="00524EB2"/>
    <w:rsid w:val="00524FF7"/>
    <w:rsid w:val="005262BA"/>
    <w:rsid w:val="00533A16"/>
    <w:rsid w:val="00534B59"/>
    <w:rsid w:val="005365A4"/>
    <w:rsid w:val="00543D22"/>
    <w:rsid w:val="0055260A"/>
    <w:rsid w:val="005554CB"/>
    <w:rsid w:val="00557D9B"/>
    <w:rsid w:val="00564A5E"/>
    <w:rsid w:val="00565501"/>
    <w:rsid w:val="00566830"/>
    <w:rsid w:val="00566ECB"/>
    <w:rsid w:val="0057332F"/>
    <w:rsid w:val="005748DA"/>
    <w:rsid w:val="00574F49"/>
    <w:rsid w:val="0057608F"/>
    <w:rsid w:val="0058091A"/>
    <w:rsid w:val="00581D6F"/>
    <w:rsid w:val="005820D8"/>
    <w:rsid w:val="00585F4C"/>
    <w:rsid w:val="00591F00"/>
    <w:rsid w:val="005942C6"/>
    <w:rsid w:val="0059508B"/>
    <w:rsid w:val="00595BE4"/>
    <w:rsid w:val="00596CC6"/>
    <w:rsid w:val="005972DA"/>
    <w:rsid w:val="005A1807"/>
    <w:rsid w:val="005A1B13"/>
    <w:rsid w:val="005A342C"/>
    <w:rsid w:val="005A5411"/>
    <w:rsid w:val="005A6AA1"/>
    <w:rsid w:val="005B433C"/>
    <w:rsid w:val="005B451A"/>
    <w:rsid w:val="005B49C6"/>
    <w:rsid w:val="005B4F7A"/>
    <w:rsid w:val="005B6100"/>
    <w:rsid w:val="005C2B49"/>
    <w:rsid w:val="005C5097"/>
    <w:rsid w:val="005C6FED"/>
    <w:rsid w:val="005C7611"/>
    <w:rsid w:val="005C7BB9"/>
    <w:rsid w:val="005D17A9"/>
    <w:rsid w:val="005D2B35"/>
    <w:rsid w:val="005D3DBE"/>
    <w:rsid w:val="005D5875"/>
    <w:rsid w:val="005D7676"/>
    <w:rsid w:val="005E01D5"/>
    <w:rsid w:val="005E4422"/>
    <w:rsid w:val="00601492"/>
    <w:rsid w:val="00602C03"/>
    <w:rsid w:val="00603300"/>
    <w:rsid w:val="00614E61"/>
    <w:rsid w:val="00615927"/>
    <w:rsid w:val="00615AED"/>
    <w:rsid w:val="00622835"/>
    <w:rsid w:val="00624810"/>
    <w:rsid w:val="00624A33"/>
    <w:rsid w:val="0063168F"/>
    <w:rsid w:val="00631E68"/>
    <w:rsid w:val="006334F3"/>
    <w:rsid w:val="0063779C"/>
    <w:rsid w:val="00641EDC"/>
    <w:rsid w:val="00643CB4"/>
    <w:rsid w:val="0064489A"/>
    <w:rsid w:val="00645896"/>
    <w:rsid w:val="00646A9A"/>
    <w:rsid w:val="00652464"/>
    <w:rsid w:val="006542BD"/>
    <w:rsid w:val="00657DF8"/>
    <w:rsid w:val="006609B0"/>
    <w:rsid w:val="006667ED"/>
    <w:rsid w:val="00673588"/>
    <w:rsid w:val="00677F22"/>
    <w:rsid w:val="006838F0"/>
    <w:rsid w:val="0068455A"/>
    <w:rsid w:val="00687E2C"/>
    <w:rsid w:val="00691DB6"/>
    <w:rsid w:val="006924E7"/>
    <w:rsid w:val="00692BC3"/>
    <w:rsid w:val="00692D81"/>
    <w:rsid w:val="006933EE"/>
    <w:rsid w:val="00695795"/>
    <w:rsid w:val="00696426"/>
    <w:rsid w:val="00697F07"/>
    <w:rsid w:val="006A10BE"/>
    <w:rsid w:val="006A12BB"/>
    <w:rsid w:val="006A29AD"/>
    <w:rsid w:val="006A39E8"/>
    <w:rsid w:val="006A3B1C"/>
    <w:rsid w:val="006A419F"/>
    <w:rsid w:val="006B03F6"/>
    <w:rsid w:val="006B0878"/>
    <w:rsid w:val="006B1C15"/>
    <w:rsid w:val="006B3C54"/>
    <w:rsid w:val="006B43DD"/>
    <w:rsid w:val="006B451F"/>
    <w:rsid w:val="006B5813"/>
    <w:rsid w:val="006C4514"/>
    <w:rsid w:val="006C5EC9"/>
    <w:rsid w:val="006D2AEF"/>
    <w:rsid w:val="006D4C5C"/>
    <w:rsid w:val="006D7691"/>
    <w:rsid w:val="006E1836"/>
    <w:rsid w:val="006E1B24"/>
    <w:rsid w:val="006E1FFD"/>
    <w:rsid w:val="006E338F"/>
    <w:rsid w:val="006E7E53"/>
    <w:rsid w:val="006F5EF3"/>
    <w:rsid w:val="006F68AE"/>
    <w:rsid w:val="00702386"/>
    <w:rsid w:val="00703AAC"/>
    <w:rsid w:val="007064EE"/>
    <w:rsid w:val="00710CA6"/>
    <w:rsid w:val="0071447E"/>
    <w:rsid w:val="007153B6"/>
    <w:rsid w:val="00716DEE"/>
    <w:rsid w:val="0072502F"/>
    <w:rsid w:val="0072789D"/>
    <w:rsid w:val="00730767"/>
    <w:rsid w:val="00730CC9"/>
    <w:rsid w:val="00733FFE"/>
    <w:rsid w:val="0074270F"/>
    <w:rsid w:val="00744FD6"/>
    <w:rsid w:val="00750393"/>
    <w:rsid w:val="00751D3B"/>
    <w:rsid w:val="0075219C"/>
    <w:rsid w:val="00752F23"/>
    <w:rsid w:val="007609DD"/>
    <w:rsid w:val="00764919"/>
    <w:rsid w:val="00770BB0"/>
    <w:rsid w:val="00772151"/>
    <w:rsid w:val="00775A78"/>
    <w:rsid w:val="00775BA3"/>
    <w:rsid w:val="00776023"/>
    <w:rsid w:val="00776E7A"/>
    <w:rsid w:val="0077732C"/>
    <w:rsid w:val="007808C7"/>
    <w:rsid w:val="00782F28"/>
    <w:rsid w:val="007900A6"/>
    <w:rsid w:val="00792346"/>
    <w:rsid w:val="007A5D2F"/>
    <w:rsid w:val="007A78A7"/>
    <w:rsid w:val="007A7D9B"/>
    <w:rsid w:val="007B3751"/>
    <w:rsid w:val="007B3F7C"/>
    <w:rsid w:val="007B5753"/>
    <w:rsid w:val="007B605C"/>
    <w:rsid w:val="007B7EA3"/>
    <w:rsid w:val="007C1C81"/>
    <w:rsid w:val="007C2204"/>
    <w:rsid w:val="007C37CC"/>
    <w:rsid w:val="007C3D38"/>
    <w:rsid w:val="007C4E50"/>
    <w:rsid w:val="007C5796"/>
    <w:rsid w:val="007C7E81"/>
    <w:rsid w:val="007D1C2C"/>
    <w:rsid w:val="007D5E2D"/>
    <w:rsid w:val="007D6073"/>
    <w:rsid w:val="007E2D46"/>
    <w:rsid w:val="007E5355"/>
    <w:rsid w:val="007F678E"/>
    <w:rsid w:val="007F7B73"/>
    <w:rsid w:val="00800322"/>
    <w:rsid w:val="00810E3A"/>
    <w:rsid w:val="008149F2"/>
    <w:rsid w:val="0081562B"/>
    <w:rsid w:val="008162EE"/>
    <w:rsid w:val="0081798C"/>
    <w:rsid w:val="008219FA"/>
    <w:rsid w:val="008262AC"/>
    <w:rsid w:val="00827E6C"/>
    <w:rsid w:val="00830AE8"/>
    <w:rsid w:val="008312BA"/>
    <w:rsid w:val="00834EF8"/>
    <w:rsid w:val="00835609"/>
    <w:rsid w:val="00837676"/>
    <w:rsid w:val="008405E7"/>
    <w:rsid w:val="00840777"/>
    <w:rsid w:val="00847862"/>
    <w:rsid w:val="008509C8"/>
    <w:rsid w:val="00850DBE"/>
    <w:rsid w:val="00851EC8"/>
    <w:rsid w:val="00853123"/>
    <w:rsid w:val="0086239C"/>
    <w:rsid w:val="008677FD"/>
    <w:rsid w:val="00870C14"/>
    <w:rsid w:val="00873359"/>
    <w:rsid w:val="00875E49"/>
    <w:rsid w:val="00884879"/>
    <w:rsid w:val="008850B3"/>
    <w:rsid w:val="008877C6"/>
    <w:rsid w:val="00890440"/>
    <w:rsid w:val="0089112E"/>
    <w:rsid w:val="0089478A"/>
    <w:rsid w:val="008A1157"/>
    <w:rsid w:val="008A4BDE"/>
    <w:rsid w:val="008A683C"/>
    <w:rsid w:val="008A70E2"/>
    <w:rsid w:val="008A7F09"/>
    <w:rsid w:val="008B5532"/>
    <w:rsid w:val="008B695C"/>
    <w:rsid w:val="008C27FD"/>
    <w:rsid w:val="008C2D2A"/>
    <w:rsid w:val="008C4270"/>
    <w:rsid w:val="008C7ED8"/>
    <w:rsid w:val="008D0A8B"/>
    <w:rsid w:val="008D106A"/>
    <w:rsid w:val="008D64D5"/>
    <w:rsid w:val="008E5EA9"/>
    <w:rsid w:val="008E65DA"/>
    <w:rsid w:val="008E6AB5"/>
    <w:rsid w:val="008F6F8E"/>
    <w:rsid w:val="009003A9"/>
    <w:rsid w:val="009006AA"/>
    <w:rsid w:val="009022DC"/>
    <w:rsid w:val="0090366C"/>
    <w:rsid w:val="0091009C"/>
    <w:rsid w:val="0091098E"/>
    <w:rsid w:val="00911A93"/>
    <w:rsid w:val="00916417"/>
    <w:rsid w:val="00917903"/>
    <w:rsid w:val="00920D12"/>
    <w:rsid w:val="00921505"/>
    <w:rsid w:val="009224BB"/>
    <w:rsid w:val="009246E8"/>
    <w:rsid w:val="0092488B"/>
    <w:rsid w:val="00930171"/>
    <w:rsid w:val="009339F9"/>
    <w:rsid w:val="00935195"/>
    <w:rsid w:val="0093791A"/>
    <w:rsid w:val="00937EF2"/>
    <w:rsid w:val="00941A05"/>
    <w:rsid w:val="00941D8B"/>
    <w:rsid w:val="009505E6"/>
    <w:rsid w:val="00950FDB"/>
    <w:rsid w:val="0095276D"/>
    <w:rsid w:val="009542F1"/>
    <w:rsid w:val="009567CF"/>
    <w:rsid w:val="00965BAE"/>
    <w:rsid w:val="00966AC0"/>
    <w:rsid w:val="00970B22"/>
    <w:rsid w:val="00972ABE"/>
    <w:rsid w:val="00974BC2"/>
    <w:rsid w:val="00977560"/>
    <w:rsid w:val="00984577"/>
    <w:rsid w:val="0098518B"/>
    <w:rsid w:val="00985758"/>
    <w:rsid w:val="00985D49"/>
    <w:rsid w:val="00991DB5"/>
    <w:rsid w:val="00992FF5"/>
    <w:rsid w:val="00993A4A"/>
    <w:rsid w:val="00997403"/>
    <w:rsid w:val="009A03CB"/>
    <w:rsid w:val="009A1C14"/>
    <w:rsid w:val="009A2345"/>
    <w:rsid w:val="009A37AA"/>
    <w:rsid w:val="009A648A"/>
    <w:rsid w:val="009B0592"/>
    <w:rsid w:val="009B255E"/>
    <w:rsid w:val="009B27BE"/>
    <w:rsid w:val="009B2822"/>
    <w:rsid w:val="009C4CD5"/>
    <w:rsid w:val="009C5588"/>
    <w:rsid w:val="009D34B3"/>
    <w:rsid w:val="009D50C1"/>
    <w:rsid w:val="009E16E6"/>
    <w:rsid w:val="009E4E06"/>
    <w:rsid w:val="009E55AD"/>
    <w:rsid w:val="009E7941"/>
    <w:rsid w:val="009F0CF5"/>
    <w:rsid w:val="009F1831"/>
    <w:rsid w:val="009F189E"/>
    <w:rsid w:val="009F18CF"/>
    <w:rsid w:val="009F21B3"/>
    <w:rsid w:val="009F3D57"/>
    <w:rsid w:val="009F4E36"/>
    <w:rsid w:val="00A025E7"/>
    <w:rsid w:val="00A037E4"/>
    <w:rsid w:val="00A110B3"/>
    <w:rsid w:val="00A12015"/>
    <w:rsid w:val="00A12198"/>
    <w:rsid w:val="00A143BC"/>
    <w:rsid w:val="00A15FA5"/>
    <w:rsid w:val="00A2111C"/>
    <w:rsid w:val="00A23447"/>
    <w:rsid w:val="00A2658E"/>
    <w:rsid w:val="00A26BDE"/>
    <w:rsid w:val="00A327BC"/>
    <w:rsid w:val="00A3524F"/>
    <w:rsid w:val="00A36005"/>
    <w:rsid w:val="00A40762"/>
    <w:rsid w:val="00A4120E"/>
    <w:rsid w:val="00A41AC6"/>
    <w:rsid w:val="00A41B48"/>
    <w:rsid w:val="00A42CDA"/>
    <w:rsid w:val="00A42FE1"/>
    <w:rsid w:val="00A44CFE"/>
    <w:rsid w:val="00A45A9E"/>
    <w:rsid w:val="00A46397"/>
    <w:rsid w:val="00A5683C"/>
    <w:rsid w:val="00A573FE"/>
    <w:rsid w:val="00A6081A"/>
    <w:rsid w:val="00A64127"/>
    <w:rsid w:val="00A64252"/>
    <w:rsid w:val="00A6594D"/>
    <w:rsid w:val="00A65BA7"/>
    <w:rsid w:val="00A748D7"/>
    <w:rsid w:val="00A7498B"/>
    <w:rsid w:val="00A75D7F"/>
    <w:rsid w:val="00A77125"/>
    <w:rsid w:val="00A8151B"/>
    <w:rsid w:val="00A8377D"/>
    <w:rsid w:val="00A86E78"/>
    <w:rsid w:val="00A94594"/>
    <w:rsid w:val="00A9691B"/>
    <w:rsid w:val="00AA0F56"/>
    <w:rsid w:val="00AA2E28"/>
    <w:rsid w:val="00AA71C6"/>
    <w:rsid w:val="00AB2657"/>
    <w:rsid w:val="00AB2B74"/>
    <w:rsid w:val="00AB7F30"/>
    <w:rsid w:val="00AC1FBC"/>
    <w:rsid w:val="00AC5465"/>
    <w:rsid w:val="00AC7F94"/>
    <w:rsid w:val="00AE1A85"/>
    <w:rsid w:val="00AE2442"/>
    <w:rsid w:val="00AE3799"/>
    <w:rsid w:val="00AE38C7"/>
    <w:rsid w:val="00AE428C"/>
    <w:rsid w:val="00AF2158"/>
    <w:rsid w:val="00AF5793"/>
    <w:rsid w:val="00AF6504"/>
    <w:rsid w:val="00AF657E"/>
    <w:rsid w:val="00B00CE5"/>
    <w:rsid w:val="00B01063"/>
    <w:rsid w:val="00B0128D"/>
    <w:rsid w:val="00B020C3"/>
    <w:rsid w:val="00B023A9"/>
    <w:rsid w:val="00B070D1"/>
    <w:rsid w:val="00B11343"/>
    <w:rsid w:val="00B11C78"/>
    <w:rsid w:val="00B129E0"/>
    <w:rsid w:val="00B12E29"/>
    <w:rsid w:val="00B17717"/>
    <w:rsid w:val="00B20C57"/>
    <w:rsid w:val="00B22F3D"/>
    <w:rsid w:val="00B2478C"/>
    <w:rsid w:val="00B268D3"/>
    <w:rsid w:val="00B31130"/>
    <w:rsid w:val="00B33704"/>
    <w:rsid w:val="00B35A51"/>
    <w:rsid w:val="00B4190D"/>
    <w:rsid w:val="00B42315"/>
    <w:rsid w:val="00B460CD"/>
    <w:rsid w:val="00B4644F"/>
    <w:rsid w:val="00B5283C"/>
    <w:rsid w:val="00B65C1F"/>
    <w:rsid w:val="00B7130B"/>
    <w:rsid w:val="00B72956"/>
    <w:rsid w:val="00B75B0C"/>
    <w:rsid w:val="00B75F8E"/>
    <w:rsid w:val="00B879EA"/>
    <w:rsid w:val="00B905BF"/>
    <w:rsid w:val="00B90719"/>
    <w:rsid w:val="00B90D61"/>
    <w:rsid w:val="00B92424"/>
    <w:rsid w:val="00B92F72"/>
    <w:rsid w:val="00BA04B8"/>
    <w:rsid w:val="00BA0D43"/>
    <w:rsid w:val="00BA3D7B"/>
    <w:rsid w:val="00BA41C8"/>
    <w:rsid w:val="00BA4B82"/>
    <w:rsid w:val="00BA4E4D"/>
    <w:rsid w:val="00BA66E8"/>
    <w:rsid w:val="00BA7A57"/>
    <w:rsid w:val="00BB1415"/>
    <w:rsid w:val="00BB4DF0"/>
    <w:rsid w:val="00BB5DEE"/>
    <w:rsid w:val="00BC066F"/>
    <w:rsid w:val="00BC147B"/>
    <w:rsid w:val="00BC3959"/>
    <w:rsid w:val="00BC39C3"/>
    <w:rsid w:val="00BC3C99"/>
    <w:rsid w:val="00BC4F7B"/>
    <w:rsid w:val="00BD0426"/>
    <w:rsid w:val="00BD3669"/>
    <w:rsid w:val="00BE0CD7"/>
    <w:rsid w:val="00BE2BA4"/>
    <w:rsid w:val="00BE2FD3"/>
    <w:rsid w:val="00BE314F"/>
    <w:rsid w:val="00BF0AF5"/>
    <w:rsid w:val="00BF0DA0"/>
    <w:rsid w:val="00BF1E68"/>
    <w:rsid w:val="00BF6A55"/>
    <w:rsid w:val="00BF6DCB"/>
    <w:rsid w:val="00BF779C"/>
    <w:rsid w:val="00C0288B"/>
    <w:rsid w:val="00C0316A"/>
    <w:rsid w:val="00C11A23"/>
    <w:rsid w:val="00C11A4A"/>
    <w:rsid w:val="00C16203"/>
    <w:rsid w:val="00C1640C"/>
    <w:rsid w:val="00C17180"/>
    <w:rsid w:val="00C179C9"/>
    <w:rsid w:val="00C17E6B"/>
    <w:rsid w:val="00C21719"/>
    <w:rsid w:val="00C23EEF"/>
    <w:rsid w:val="00C25732"/>
    <w:rsid w:val="00C25A49"/>
    <w:rsid w:val="00C25AC4"/>
    <w:rsid w:val="00C265A2"/>
    <w:rsid w:val="00C27AE8"/>
    <w:rsid w:val="00C31DFA"/>
    <w:rsid w:val="00C376A8"/>
    <w:rsid w:val="00C4198C"/>
    <w:rsid w:val="00C41C63"/>
    <w:rsid w:val="00C4227C"/>
    <w:rsid w:val="00C43495"/>
    <w:rsid w:val="00C43865"/>
    <w:rsid w:val="00C43E9F"/>
    <w:rsid w:val="00C4643A"/>
    <w:rsid w:val="00C47A71"/>
    <w:rsid w:val="00C506D3"/>
    <w:rsid w:val="00C56597"/>
    <w:rsid w:val="00C5737E"/>
    <w:rsid w:val="00C57C8D"/>
    <w:rsid w:val="00C64417"/>
    <w:rsid w:val="00C64839"/>
    <w:rsid w:val="00C70A0B"/>
    <w:rsid w:val="00C7608D"/>
    <w:rsid w:val="00C77ACA"/>
    <w:rsid w:val="00C806AE"/>
    <w:rsid w:val="00C90240"/>
    <w:rsid w:val="00C9171A"/>
    <w:rsid w:val="00C9583C"/>
    <w:rsid w:val="00C96633"/>
    <w:rsid w:val="00C96B7D"/>
    <w:rsid w:val="00CC2965"/>
    <w:rsid w:val="00CC4A9B"/>
    <w:rsid w:val="00CC50AE"/>
    <w:rsid w:val="00CD0425"/>
    <w:rsid w:val="00CD1215"/>
    <w:rsid w:val="00CD22CA"/>
    <w:rsid w:val="00CD3529"/>
    <w:rsid w:val="00CD6625"/>
    <w:rsid w:val="00CE1D13"/>
    <w:rsid w:val="00CE325F"/>
    <w:rsid w:val="00CE635B"/>
    <w:rsid w:val="00CF40F0"/>
    <w:rsid w:val="00CF605E"/>
    <w:rsid w:val="00CF66F8"/>
    <w:rsid w:val="00CF71FE"/>
    <w:rsid w:val="00D01D3B"/>
    <w:rsid w:val="00D0214F"/>
    <w:rsid w:val="00D0360D"/>
    <w:rsid w:val="00D03E21"/>
    <w:rsid w:val="00D04E22"/>
    <w:rsid w:val="00D06DD6"/>
    <w:rsid w:val="00D1598E"/>
    <w:rsid w:val="00D207C2"/>
    <w:rsid w:val="00D30E2B"/>
    <w:rsid w:val="00D3493B"/>
    <w:rsid w:val="00D3575D"/>
    <w:rsid w:val="00D35869"/>
    <w:rsid w:val="00D35CDE"/>
    <w:rsid w:val="00D410C0"/>
    <w:rsid w:val="00D4271A"/>
    <w:rsid w:val="00D43B12"/>
    <w:rsid w:val="00D51088"/>
    <w:rsid w:val="00D512AA"/>
    <w:rsid w:val="00D51DB6"/>
    <w:rsid w:val="00D55ADB"/>
    <w:rsid w:val="00D56743"/>
    <w:rsid w:val="00D57E88"/>
    <w:rsid w:val="00D60E4D"/>
    <w:rsid w:val="00D61300"/>
    <w:rsid w:val="00D64B06"/>
    <w:rsid w:val="00D73AEE"/>
    <w:rsid w:val="00D74BE6"/>
    <w:rsid w:val="00D75034"/>
    <w:rsid w:val="00D76AB7"/>
    <w:rsid w:val="00D76C30"/>
    <w:rsid w:val="00D770C4"/>
    <w:rsid w:val="00D833A4"/>
    <w:rsid w:val="00D85627"/>
    <w:rsid w:val="00D8564A"/>
    <w:rsid w:val="00D85FB2"/>
    <w:rsid w:val="00D86396"/>
    <w:rsid w:val="00D874F0"/>
    <w:rsid w:val="00D90D06"/>
    <w:rsid w:val="00D912FF"/>
    <w:rsid w:val="00D95392"/>
    <w:rsid w:val="00D95D39"/>
    <w:rsid w:val="00D9782C"/>
    <w:rsid w:val="00DA2D36"/>
    <w:rsid w:val="00DA2E26"/>
    <w:rsid w:val="00DA3676"/>
    <w:rsid w:val="00DA4752"/>
    <w:rsid w:val="00DB2431"/>
    <w:rsid w:val="00DB2E56"/>
    <w:rsid w:val="00DC07C5"/>
    <w:rsid w:val="00DC1537"/>
    <w:rsid w:val="00DC2F52"/>
    <w:rsid w:val="00DC5A00"/>
    <w:rsid w:val="00DD1932"/>
    <w:rsid w:val="00DD38C6"/>
    <w:rsid w:val="00DD551C"/>
    <w:rsid w:val="00DD5AFA"/>
    <w:rsid w:val="00DD701C"/>
    <w:rsid w:val="00DE1C65"/>
    <w:rsid w:val="00DE39AD"/>
    <w:rsid w:val="00DE409D"/>
    <w:rsid w:val="00DE79DF"/>
    <w:rsid w:val="00DF36BF"/>
    <w:rsid w:val="00DF3EBE"/>
    <w:rsid w:val="00E02F4B"/>
    <w:rsid w:val="00E10DB4"/>
    <w:rsid w:val="00E15CAE"/>
    <w:rsid w:val="00E16399"/>
    <w:rsid w:val="00E24012"/>
    <w:rsid w:val="00E241F3"/>
    <w:rsid w:val="00E30BE7"/>
    <w:rsid w:val="00E3190A"/>
    <w:rsid w:val="00E32486"/>
    <w:rsid w:val="00E36099"/>
    <w:rsid w:val="00E36DDF"/>
    <w:rsid w:val="00E373F7"/>
    <w:rsid w:val="00E40286"/>
    <w:rsid w:val="00E41698"/>
    <w:rsid w:val="00E428E6"/>
    <w:rsid w:val="00E4491B"/>
    <w:rsid w:val="00E44FB3"/>
    <w:rsid w:val="00E4501D"/>
    <w:rsid w:val="00E57F87"/>
    <w:rsid w:val="00E614F6"/>
    <w:rsid w:val="00E637FD"/>
    <w:rsid w:val="00E7015E"/>
    <w:rsid w:val="00E74879"/>
    <w:rsid w:val="00E74A93"/>
    <w:rsid w:val="00E76EF1"/>
    <w:rsid w:val="00E77683"/>
    <w:rsid w:val="00E813E8"/>
    <w:rsid w:val="00E81701"/>
    <w:rsid w:val="00E8466A"/>
    <w:rsid w:val="00E87A1F"/>
    <w:rsid w:val="00E91E3B"/>
    <w:rsid w:val="00E930BC"/>
    <w:rsid w:val="00E96A2A"/>
    <w:rsid w:val="00EA0B80"/>
    <w:rsid w:val="00EA147E"/>
    <w:rsid w:val="00EA21E2"/>
    <w:rsid w:val="00EA2530"/>
    <w:rsid w:val="00EA3363"/>
    <w:rsid w:val="00EA66F5"/>
    <w:rsid w:val="00EA6E47"/>
    <w:rsid w:val="00EB32E4"/>
    <w:rsid w:val="00EB60CD"/>
    <w:rsid w:val="00EC0395"/>
    <w:rsid w:val="00EC0F05"/>
    <w:rsid w:val="00EC2B56"/>
    <w:rsid w:val="00EC3560"/>
    <w:rsid w:val="00EC7897"/>
    <w:rsid w:val="00EC7DC6"/>
    <w:rsid w:val="00ED0771"/>
    <w:rsid w:val="00ED435A"/>
    <w:rsid w:val="00ED66C2"/>
    <w:rsid w:val="00EE0CA9"/>
    <w:rsid w:val="00EE131C"/>
    <w:rsid w:val="00EE1EC9"/>
    <w:rsid w:val="00EE234B"/>
    <w:rsid w:val="00EF4B5B"/>
    <w:rsid w:val="00EF515E"/>
    <w:rsid w:val="00EF5A11"/>
    <w:rsid w:val="00F011F6"/>
    <w:rsid w:val="00F042C9"/>
    <w:rsid w:val="00F05A7E"/>
    <w:rsid w:val="00F06DED"/>
    <w:rsid w:val="00F13820"/>
    <w:rsid w:val="00F14EB8"/>
    <w:rsid w:val="00F1684A"/>
    <w:rsid w:val="00F21831"/>
    <w:rsid w:val="00F33F3C"/>
    <w:rsid w:val="00F40BAD"/>
    <w:rsid w:val="00F40C8B"/>
    <w:rsid w:val="00F52300"/>
    <w:rsid w:val="00F541D3"/>
    <w:rsid w:val="00F54C72"/>
    <w:rsid w:val="00F600C9"/>
    <w:rsid w:val="00F607FE"/>
    <w:rsid w:val="00F63033"/>
    <w:rsid w:val="00F66446"/>
    <w:rsid w:val="00F72B1E"/>
    <w:rsid w:val="00F746E4"/>
    <w:rsid w:val="00F82E85"/>
    <w:rsid w:val="00F94773"/>
    <w:rsid w:val="00F94A12"/>
    <w:rsid w:val="00FA21ED"/>
    <w:rsid w:val="00FA3164"/>
    <w:rsid w:val="00FA41B2"/>
    <w:rsid w:val="00FA4660"/>
    <w:rsid w:val="00FB0B5B"/>
    <w:rsid w:val="00FB0EC8"/>
    <w:rsid w:val="00FB1B0C"/>
    <w:rsid w:val="00FB7016"/>
    <w:rsid w:val="00FB7F27"/>
    <w:rsid w:val="00FC17B4"/>
    <w:rsid w:val="00FC36FE"/>
    <w:rsid w:val="00FC5712"/>
    <w:rsid w:val="00FD036E"/>
    <w:rsid w:val="00FD0B37"/>
    <w:rsid w:val="00FD2B19"/>
    <w:rsid w:val="00FD69FC"/>
    <w:rsid w:val="00FE00BD"/>
    <w:rsid w:val="00FE0C6B"/>
    <w:rsid w:val="00FE0F9B"/>
    <w:rsid w:val="00FE371D"/>
    <w:rsid w:val="00FE658A"/>
    <w:rsid w:val="00FE6C31"/>
    <w:rsid w:val="00FF1161"/>
    <w:rsid w:val="00FF1A32"/>
    <w:rsid w:val="00FF1F09"/>
    <w:rsid w:val="00FF3069"/>
    <w:rsid w:val="04817A3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华文仿宋" w:hAnsi="华文仿宋" w:eastAsia="华文仿宋" w:cs="Times New Roman"/>
      <w:kern w:val="2"/>
      <w:sz w:val="28"/>
      <w:szCs w:val="28"/>
      <w:lang w:val="en-US" w:eastAsia="zh-CN" w:bidi="ar-SA"/>
    </w:rPr>
  </w:style>
  <w:style w:type="paragraph" w:styleId="2">
    <w:name w:val="heading 3"/>
    <w:basedOn w:val="1"/>
    <w:next w:val="1"/>
    <w:link w:val="22"/>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paragraph" w:styleId="3">
    <w:name w:val="heading 4"/>
    <w:basedOn w:val="1"/>
    <w:next w:val="1"/>
    <w:link w:val="23"/>
    <w:qFormat/>
    <w:uiPriority w:val="9"/>
    <w:pPr>
      <w:widowControl/>
      <w:spacing w:before="100" w:beforeAutospacing="1" w:after="100" w:afterAutospacing="1"/>
      <w:jc w:val="left"/>
      <w:outlineLvl w:val="3"/>
    </w:pPr>
    <w:rPr>
      <w:rFonts w:ascii="宋体" w:hAnsi="宋体" w:eastAsia="宋体" w:cs="宋体"/>
      <w:b/>
      <w:bCs/>
      <w:kern w:val="0"/>
      <w:sz w:val="24"/>
      <w:szCs w:val="24"/>
    </w:rPr>
  </w:style>
  <w:style w:type="character" w:default="1" w:styleId="12">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Date"/>
    <w:basedOn w:val="1"/>
    <w:next w:val="1"/>
    <w:link w:val="20"/>
    <w:semiHidden/>
    <w:unhideWhenUsed/>
    <w:uiPriority w:val="99"/>
    <w:pPr>
      <w:ind w:left="100" w:leftChars="2500"/>
    </w:pPr>
  </w:style>
  <w:style w:type="paragraph" w:styleId="5">
    <w:name w:val="Balloon Text"/>
    <w:basedOn w:val="1"/>
    <w:link w:val="19"/>
    <w:semiHidden/>
    <w:unhideWhenUsed/>
    <w:uiPriority w:val="99"/>
    <w:rPr>
      <w:sz w:val="18"/>
      <w:szCs w:val="18"/>
    </w:rPr>
  </w:style>
  <w:style w:type="paragraph" w:styleId="6">
    <w:name w:val="footer"/>
    <w:basedOn w:val="1"/>
    <w:link w:val="18"/>
    <w:unhideWhenUsed/>
    <w:uiPriority w:val="99"/>
    <w:pPr>
      <w:tabs>
        <w:tab w:val="center" w:pos="4153"/>
        <w:tab w:val="right" w:pos="8306"/>
      </w:tabs>
      <w:snapToGrid w:val="0"/>
      <w:jc w:val="left"/>
    </w:pPr>
    <w:rPr>
      <w:sz w:val="18"/>
      <w:szCs w:val="18"/>
    </w:rPr>
  </w:style>
  <w:style w:type="paragraph" w:styleId="7">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pPr>
      <w:jc w:val="left"/>
    </w:pPr>
    <w:rPr>
      <w:rFonts w:ascii="Times New Roman" w:hAnsi="Times New Roman" w:eastAsia="宋体"/>
      <w:kern w:val="0"/>
      <w:sz w:val="24"/>
      <w:szCs w:val="20"/>
    </w:rPr>
  </w:style>
  <w:style w:type="table" w:styleId="10">
    <w:name w:val="Table Grid"/>
    <w:basedOn w:val="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
    <w:name w:val="Light Shading Accent 3"/>
    <w:basedOn w:val="9"/>
    <w:uiPriority w:val="60"/>
    <w:rPr>
      <w:color w:val="7B7B7B" w:themeColor="accent3" w:themeShade="BF"/>
    </w:rPr>
    <w:tblPr>
      <w:tblBorders>
        <w:top w:val="single" w:color="A5A5A5" w:themeColor="accent3" w:sz="8" w:space="0"/>
        <w:bottom w:val="single" w:color="A5A5A5" w:themeColor="accent3" w:sz="8" w:space="0"/>
      </w:tblBorders>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13">
    <w:name w:val="Strong"/>
    <w:basedOn w:val="12"/>
    <w:qFormat/>
    <w:uiPriority w:val="22"/>
    <w:rPr>
      <w:b/>
      <w:bCs/>
    </w:rPr>
  </w:style>
  <w:style w:type="character" w:styleId="14">
    <w:name w:val="Hyperlink"/>
    <w:basedOn w:val="12"/>
    <w:semiHidden/>
    <w:unhideWhenUsed/>
    <w:uiPriority w:val="99"/>
    <w:rPr>
      <w:color w:val="0000FF"/>
      <w:u w:val="single"/>
    </w:rPr>
  </w:style>
  <w:style w:type="paragraph" w:customStyle="1" w:styleId="15">
    <w:name w:val="普通(Web)2"/>
    <w:basedOn w:val="1"/>
    <w:qFormat/>
    <w:uiPriority w:val="0"/>
    <w:pPr>
      <w:widowControl/>
      <w:spacing w:before="150" w:after="100" w:afterAutospacing="1" w:line="330" w:lineRule="atLeast"/>
      <w:ind w:left="675" w:firstLine="360"/>
      <w:jc w:val="left"/>
    </w:pPr>
    <w:rPr>
      <w:rFonts w:ascii="宋体" w:hAnsi="宋体" w:eastAsia="宋体" w:cs="宋体"/>
      <w:kern w:val="0"/>
      <w:sz w:val="20"/>
      <w:szCs w:val="20"/>
    </w:rPr>
  </w:style>
  <w:style w:type="paragraph" w:styleId="16">
    <w:name w:val="List Paragraph"/>
    <w:basedOn w:val="1"/>
    <w:qFormat/>
    <w:uiPriority w:val="34"/>
    <w:pPr>
      <w:ind w:firstLine="420" w:firstLineChars="200"/>
    </w:pPr>
  </w:style>
  <w:style w:type="character" w:customStyle="1" w:styleId="17">
    <w:name w:val="页眉 字符"/>
    <w:basedOn w:val="12"/>
    <w:link w:val="7"/>
    <w:uiPriority w:val="99"/>
    <w:rPr>
      <w:rFonts w:ascii="华文仿宋" w:hAnsi="华文仿宋" w:eastAsia="华文仿宋" w:cs="Times New Roman"/>
      <w:sz w:val="18"/>
      <w:szCs w:val="18"/>
    </w:rPr>
  </w:style>
  <w:style w:type="character" w:customStyle="1" w:styleId="18">
    <w:name w:val="页脚 字符"/>
    <w:basedOn w:val="12"/>
    <w:link w:val="6"/>
    <w:uiPriority w:val="99"/>
    <w:rPr>
      <w:rFonts w:ascii="华文仿宋" w:hAnsi="华文仿宋" w:eastAsia="华文仿宋" w:cs="Times New Roman"/>
      <w:sz w:val="18"/>
      <w:szCs w:val="18"/>
    </w:rPr>
  </w:style>
  <w:style w:type="character" w:customStyle="1" w:styleId="19">
    <w:name w:val="批注框文本 字符"/>
    <w:basedOn w:val="12"/>
    <w:link w:val="5"/>
    <w:semiHidden/>
    <w:uiPriority w:val="99"/>
    <w:rPr>
      <w:rFonts w:ascii="华文仿宋" w:hAnsi="华文仿宋" w:eastAsia="华文仿宋" w:cs="Times New Roman"/>
      <w:sz w:val="18"/>
      <w:szCs w:val="18"/>
    </w:rPr>
  </w:style>
  <w:style w:type="character" w:customStyle="1" w:styleId="20">
    <w:name w:val="日期 字符"/>
    <w:basedOn w:val="12"/>
    <w:link w:val="4"/>
    <w:semiHidden/>
    <w:uiPriority w:val="99"/>
    <w:rPr>
      <w:rFonts w:ascii="华文仿宋" w:hAnsi="华文仿宋" w:eastAsia="华文仿宋" w:cs="Times New Roman"/>
      <w:sz w:val="28"/>
      <w:szCs w:val="28"/>
    </w:rPr>
  </w:style>
  <w:style w:type="character" w:customStyle="1" w:styleId="21">
    <w:name w:val="ql-author-2211572"/>
    <w:basedOn w:val="12"/>
    <w:uiPriority w:val="0"/>
  </w:style>
  <w:style w:type="character" w:customStyle="1" w:styleId="22">
    <w:name w:val="标题 3 字符"/>
    <w:basedOn w:val="12"/>
    <w:link w:val="2"/>
    <w:uiPriority w:val="9"/>
    <w:rPr>
      <w:rFonts w:ascii="宋体" w:hAnsi="宋体" w:eastAsia="宋体" w:cs="宋体"/>
      <w:b/>
      <w:bCs/>
      <w:kern w:val="0"/>
      <w:sz w:val="27"/>
      <w:szCs w:val="27"/>
    </w:rPr>
  </w:style>
  <w:style w:type="character" w:customStyle="1" w:styleId="23">
    <w:name w:val="标题 4 字符"/>
    <w:basedOn w:val="12"/>
    <w:link w:val="3"/>
    <w:uiPriority w:val="9"/>
    <w:rPr>
      <w:rFonts w:ascii="宋体" w:hAnsi="宋体" w:eastAsia="宋体" w:cs="宋体"/>
      <w:b/>
      <w:bCs/>
      <w:kern w:val="0"/>
      <w:sz w:val="24"/>
      <w:szCs w:val="24"/>
    </w:rPr>
  </w:style>
  <w:style w:type="character" w:customStyle="1" w:styleId="24">
    <w:name w:val="ql-author-25864967"/>
    <w:basedOn w:val="12"/>
    <w:uiPriority w:val="0"/>
  </w:style>
  <w:style w:type="paragraph" w:customStyle="1" w:styleId="25">
    <w:name w:val="ql-long-25864967"/>
    <w:basedOn w:val="1"/>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
    <w:name w:val="ql-long-2211572"/>
    <w:basedOn w:val="1"/>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chart" Target="charts/chart1.xml"/><Relationship Id="rId6" Type="http://schemas.openxmlformats.org/officeDocument/2006/relationships/image" Target="media/image2.png"/><Relationship Id="rId5" Type="http://schemas.openxmlformats.org/officeDocument/2006/relationships/image" Target="media/image1.jpeg"/><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3.jpeg"/><Relationship Id="rId42" Type="http://schemas.openxmlformats.org/officeDocument/2006/relationships/image" Target="media/image32.pn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theme" Target="theme/theme1.xml"/><Relationship Id="rId39" Type="http://schemas.openxmlformats.org/officeDocument/2006/relationships/image" Target="media/image29.jpeg"/><Relationship Id="rId38" Type="http://schemas.openxmlformats.org/officeDocument/2006/relationships/image" Target="media/image28.png"/><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microsoft.com/office/2007/relationships/diagramDrawing" Target="diagrams/drawing1.xml"/><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476562811059646"/>
          <c:y val="0.0291316526610647"/>
          <c:w val="0.947779519975129"/>
          <c:h val="0.87852489027107"/>
        </c:manualLayout>
      </c:layout>
      <c:barChart>
        <c:barDir val="col"/>
        <c:grouping val="clustered"/>
        <c:varyColors val="0"/>
        <c:ser>
          <c:idx val="0"/>
          <c:order val="0"/>
          <c:tx>
            <c:strRef>
              <c:f>Sheet1!$B$1</c:f>
              <c:strCache>
                <c:ptCount val="1"/>
                <c:pt idx="0">
                  <c:v>系列 1</c:v>
                </c:pt>
              </c:strCache>
            </c:strRef>
          </c:tx>
          <c:spPr>
            <a:gradFill>
              <a:gsLst>
                <a:gs pos="0">
                  <a:srgbClr val="5B9BD5">
                    <a:tint val="66000"/>
                    <a:satMod val="160000"/>
                  </a:srgbClr>
                </a:gs>
                <a:gs pos="50000">
                  <a:srgbClr val="5B9BD5">
                    <a:tint val="44500"/>
                    <a:satMod val="160000"/>
                  </a:srgbClr>
                </a:gs>
                <a:gs pos="100000">
                  <a:srgbClr val="5B9BD5">
                    <a:tint val="23500"/>
                    <a:satMod val="160000"/>
                  </a:srgbClr>
                </a:gs>
              </a:gsLst>
              <a:lin ang="5400000" scaled="0"/>
            </a:gradFill>
          </c:spPr>
          <c:invertIfNegative val="0"/>
          <c:dLbls>
            <c:delete val="1"/>
          </c:dLbls>
          <c:cat>
            <c:strRef>
              <c:f>Sheet1!$A$2:$A$13</c:f>
              <c:strCache>
                <c:ptCount val="12"/>
                <c:pt idx="0">
                  <c:v>一月</c:v>
                </c:pt>
                <c:pt idx="1">
                  <c:v>二月</c:v>
                </c:pt>
                <c:pt idx="2">
                  <c:v>三月</c:v>
                </c:pt>
                <c:pt idx="3">
                  <c:v>四月</c:v>
                </c:pt>
                <c:pt idx="4">
                  <c:v>五月</c:v>
                </c:pt>
                <c:pt idx="5">
                  <c:v>六月</c:v>
                </c:pt>
                <c:pt idx="6">
                  <c:v>七月</c:v>
                </c:pt>
                <c:pt idx="7">
                  <c:v>八月</c:v>
                </c:pt>
                <c:pt idx="8">
                  <c:v>九月</c:v>
                </c:pt>
                <c:pt idx="9">
                  <c:v>十月</c:v>
                </c:pt>
                <c:pt idx="10">
                  <c:v>十一月</c:v>
                </c:pt>
                <c:pt idx="11">
                  <c:v>十二月</c:v>
                </c:pt>
              </c:strCache>
            </c:strRef>
          </c:cat>
          <c:val>
            <c:numRef>
              <c:f>Sheet1!$B$2:$B$13</c:f>
              <c:numCache>
                <c:formatCode>General</c:formatCode>
                <c:ptCount val="12"/>
                <c:pt idx="0">
                  <c:v>4211534</c:v>
                </c:pt>
                <c:pt idx="1">
                  <c:v>4221758</c:v>
                </c:pt>
                <c:pt idx="2">
                  <c:v>4241758</c:v>
                </c:pt>
                <c:pt idx="3">
                  <c:v>4267941</c:v>
                </c:pt>
                <c:pt idx="4">
                  <c:v>4289820</c:v>
                </c:pt>
                <c:pt idx="5">
                  <c:v>4311058</c:v>
                </c:pt>
                <c:pt idx="6">
                  <c:v>4323231</c:v>
                </c:pt>
                <c:pt idx="7">
                  <c:v>4329043</c:v>
                </c:pt>
                <c:pt idx="8">
                  <c:v>4352448</c:v>
                </c:pt>
                <c:pt idx="9">
                  <c:v>4503892</c:v>
                </c:pt>
                <c:pt idx="10">
                  <c:v>4882867</c:v>
                </c:pt>
                <c:pt idx="11">
                  <c:v>4908672</c:v>
                </c:pt>
              </c:numCache>
            </c:numRef>
          </c:val>
        </c:ser>
        <c:dLbls>
          <c:showLegendKey val="0"/>
          <c:showVal val="0"/>
          <c:showCatName val="0"/>
          <c:showSerName val="0"/>
          <c:showPercent val="0"/>
          <c:showBubbleSize val="0"/>
        </c:dLbls>
        <c:gapWidth val="150"/>
        <c:axId val="285049984"/>
        <c:axId val="285051904"/>
      </c:barChart>
      <c:dateAx>
        <c:axId val="28504998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黑体" panose="02010609060101010101" charset="-122"/>
                <a:ea typeface="黑体" panose="02010609060101010101" charset="-122"/>
                <a:cs typeface="+mn-cs"/>
              </a:defRPr>
            </a:pPr>
          </a:p>
        </c:txPr>
        <c:crossAx val="285051904"/>
        <c:crosses val="autoZero"/>
        <c:auto val="0"/>
        <c:lblAlgn val="ctr"/>
        <c:lblOffset val="100"/>
        <c:baseTimeUnit val="days"/>
      </c:dateAx>
      <c:valAx>
        <c:axId val="285051904"/>
        <c:scaling>
          <c:orientation val="minMax"/>
          <c:max val="5000000"/>
          <c:min val="4100000"/>
        </c:scaling>
        <c:delete val="0"/>
        <c:axPos val="l"/>
        <c:majorGridlines>
          <c:spPr>
            <a:ln w="3175" cap="flat" cmpd="sng" algn="ctr">
              <a:solidFill>
                <a:schemeClr val="bg1">
                  <a:lumMod val="95000"/>
                </a:schemeClr>
              </a:solidFill>
              <a:prstDash val="solid"/>
              <a:round/>
            </a:ln>
          </c:spPr>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黑体" panose="02010609060101010101" charset="-122"/>
                <a:ea typeface="黑体" panose="02010609060101010101" charset="-122"/>
                <a:cs typeface="+mn-cs"/>
              </a:defRPr>
            </a:pPr>
          </a:p>
        </c:txPr>
        <c:crossAx val="285049984"/>
        <c:crosses val="autoZero"/>
        <c:crossBetween val="between"/>
      </c:valAx>
      <c:spPr>
        <a:solidFill>
          <a:schemeClr val="bg1"/>
        </a:solidFill>
        <a:ln>
          <a:noFill/>
        </a:ln>
        <a:effectLst/>
      </c:spPr>
    </c:plotArea>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66833A64-E24C-41CB-9C72-8E3758882DD1}" type="doc">
      <dgm:prSet loTypeId="urn:microsoft.com/office/officeart/2005/8/layout/vList6" loCatId="list" qsTypeId="urn:microsoft.com/office/officeart/2005/8/quickstyle/3d4" qsCatId="3D" csTypeId="urn:microsoft.com/office/officeart/2005/8/colors/colorful5" csCatId="colorful" phldr="1"/>
      <dgm:spPr/>
      <dgm:t>
        <a:bodyPr/>
        <a:p>
          <a:endParaRPr lang="zh-CN" altLang="en-US"/>
        </a:p>
      </dgm:t>
    </dgm:pt>
    <dgm:pt modelId="{F121541B-9EE4-41B5-9988-462644C8EF78}">
      <dgm:prSet phldrT="[文本]" custT="1"/>
      <dgm:spPr/>
      <dgm:t>
        <a:bodyPr/>
        <a:p>
          <a:r>
            <a:rPr lang="zh-CN" altLang="en-US" sz="2000">
              <a:latin typeface="方正小标宋简体" charset="-122"/>
              <a:ea typeface="方正小标宋简体" charset="-122"/>
            </a:rPr>
            <a:t>年活跃用户</a:t>
          </a:r>
        </a:p>
      </dgm:t>
    </dgm:pt>
    <dgm:pt modelId="{A69AB36F-4070-4D45-ADCC-BBFEF4D1C980}" cxnId="{FEC9BAA1-E4A4-44E1-9371-EA51C7B7B3A4}" type="parTrans">
      <dgm:prSet/>
      <dgm:spPr/>
      <dgm:t>
        <a:bodyPr/>
        <a:p>
          <a:endParaRPr lang="zh-CN" altLang="en-US">
            <a:latin typeface="仿宋" panose="02010609060101010101" pitchFamily="3" charset="-122"/>
            <a:ea typeface="仿宋" panose="02010609060101010101" pitchFamily="3" charset="-122"/>
          </a:endParaRPr>
        </a:p>
      </dgm:t>
    </dgm:pt>
    <dgm:pt modelId="{38B76980-6D4F-4D40-ABF5-105673FD00DD}" cxnId="{FEC9BAA1-E4A4-44E1-9371-EA51C7B7B3A4}" type="sibTrans">
      <dgm:prSet/>
      <dgm:spPr/>
      <dgm:t>
        <a:bodyPr/>
        <a:p>
          <a:endParaRPr lang="zh-CN" altLang="en-US">
            <a:latin typeface="仿宋" panose="02010609060101010101" pitchFamily="3" charset="-122"/>
            <a:ea typeface="仿宋" panose="02010609060101010101" pitchFamily="3" charset="-122"/>
          </a:endParaRPr>
        </a:p>
      </dgm:t>
    </dgm:pt>
    <dgm:pt modelId="{AD1DB7C9-7ED0-4EA2-A6F6-54EFDBF6C15D}">
      <dgm:prSet phldrT="[文本]" custT="1"/>
      <dgm:spPr/>
      <dgm:t>
        <a:bodyPr anchor="ctr" anchorCtr="0"/>
        <a:p>
          <a:pPr marL="360045"/>
          <a:r>
            <a:rPr lang="zh-CN" altLang="en-US" sz="1100">
              <a:latin typeface="仿宋" panose="02010609060101010101" pitchFamily="3" charset="-122"/>
              <a:ea typeface="仿宋" panose="02010609060101010101" pitchFamily="3" charset="-122"/>
            </a:rPr>
            <a:t> 约 </a:t>
          </a:r>
          <a:r>
            <a:rPr lang="en-US" sz="2000">
              <a:latin typeface="方正小标宋简体" charset="-122"/>
              <a:ea typeface="方正小标宋简体" charset="-122"/>
            </a:rPr>
            <a:t>180.8</a:t>
          </a:r>
          <a:r>
            <a:rPr lang="zh-CN" sz="2000">
              <a:latin typeface="方正小标宋简体" charset="-122"/>
              <a:ea typeface="方正小标宋简体" charset="-122"/>
            </a:rPr>
            <a:t>万</a:t>
          </a:r>
          <a:endParaRPr lang="zh-CN" altLang="en-US" sz="2000">
            <a:latin typeface="方正小标宋简体" charset="-122"/>
            <a:ea typeface="方正小标宋简体" charset="-122"/>
          </a:endParaRPr>
        </a:p>
      </dgm:t>
    </dgm:pt>
    <dgm:pt modelId="{6E348F14-727B-4E54-91AF-FF864F269119}" cxnId="{4726A4EB-0093-4E6F-BA8F-A5827C14FBDA}" type="parTrans">
      <dgm:prSet/>
      <dgm:spPr/>
      <dgm:t>
        <a:bodyPr/>
        <a:p>
          <a:endParaRPr lang="zh-CN" altLang="en-US">
            <a:latin typeface="仿宋" panose="02010609060101010101" pitchFamily="3" charset="-122"/>
            <a:ea typeface="仿宋" panose="02010609060101010101" pitchFamily="3" charset="-122"/>
          </a:endParaRPr>
        </a:p>
      </dgm:t>
    </dgm:pt>
    <dgm:pt modelId="{025E108E-BEEE-4457-81A6-F2351BF37C6E}" cxnId="{4726A4EB-0093-4E6F-BA8F-A5827C14FBDA}" type="sibTrans">
      <dgm:prSet/>
      <dgm:spPr/>
      <dgm:t>
        <a:bodyPr/>
        <a:p>
          <a:endParaRPr lang="zh-CN" altLang="en-US">
            <a:latin typeface="仿宋" panose="02010609060101010101" pitchFamily="3" charset="-122"/>
            <a:ea typeface="仿宋" panose="02010609060101010101" pitchFamily="3" charset="-122"/>
          </a:endParaRPr>
        </a:p>
      </dgm:t>
    </dgm:pt>
    <dgm:pt modelId="{D2F38E48-0B0C-4281-AECD-E77FC04C3205}">
      <dgm:prSet phldrT="[文本]" custT="1"/>
      <dgm:spPr/>
      <dgm:t>
        <a:bodyPr/>
        <a:p>
          <a:r>
            <a:rPr lang="zh-CN" altLang="en-US" sz="2000">
              <a:latin typeface="方正小标宋简体" charset="-122"/>
              <a:ea typeface="方正小标宋简体" charset="-122"/>
            </a:rPr>
            <a:t>月活跃用户</a:t>
          </a:r>
        </a:p>
      </dgm:t>
    </dgm:pt>
    <dgm:pt modelId="{E21BFA5B-EDDB-4DF6-BACE-00E115F6BCE5}" cxnId="{C552B657-5844-4BB5-AB88-CF53FCE43C16}" type="parTrans">
      <dgm:prSet/>
      <dgm:spPr/>
      <dgm:t>
        <a:bodyPr/>
        <a:p>
          <a:endParaRPr lang="zh-CN" altLang="en-US">
            <a:latin typeface="仿宋" panose="02010609060101010101" pitchFamily="3" charset="-122"/>
            <a:ea typeface="仿宋" panose="02010609060101010101" pitchFamily="3" charset="-122"/>
          </a:endParaRPr>
        </a:p>
      </dgm:t>
    </dgm:pt>
    <dgm:pt modelId="{30F9AEA3-2A03-4A3A-94E9-318ED11C7980}" cxnId="{C552B657-5844-4BB5-AB88-CF53FCE43C16}" type="sibTrans">
      <dgm:prSet/>
      <dgm:spPr/>
      <dgm:t>
        <a:bodyPr/>
        <a:p>
          <a:endParaRPr lang="zh-CN" altLang="en-US">
            <a:latin typeface="仿宋" panose="02010609060101010101" pitchFamily="3" charset="-122"/>
            <a:ea typeface="仿宋" panose="02010609060101010101" pitchFamily="3" charset="-122"/>
          </a:endParaRPr>
        </a:p>
      </dgm:t>
    </dgm:pt>
    <dgm:pt modelId="{91165424-1165-4C0D-9E7B-6E71631E5319}">
      <dgm:prSet phldrT="[文本]" custT="1"/>
      <dgm:spPr/>
      <dgm:t>
        <a:bodyPr anchor="ctr" anchorCtr="0"/>
        <a:p>
          <a:pPr marL="360045"/>
          <a:r>
            <a:rPr lang="en-US" altLang="zh-CN" sz="1100">
              <a:latin typeface="仿宋" panose="02010609060101010101" pitchFamily="3" charset="-122"/>
              <a:ea typeface="仿宋" panose="02010609060101010101" pitchFamily="3" charset="-122"/>
            </a:rPr>
            <a:t> </a:t>
          </a:r>
          <a:r>
            <a:rPr lang="zh-CN" sz="1100">
              <a:latin typeface="仿宋" panose="02010609060101010101" pitchFamily="3" charset="-122"/>
              <a:ea typeface="仿宋" panose="02010609060101010101" pitchFamily="3" charset="-122"/>
            </a:rPr>
            <a:t>平均 </a:t>
          </a:r>
          <a:r>
            <a:rPr lang="en-US" sz="1100">
              <a:latin typeface="方正小标宋简体" charset="-122"/>
              <a:ea typeface="方正小标宋简体" charset="-122"/>
            </a:rPr>
            <a:t>26.4</a:t>
          </a:r>
          <a:r>
            <a:rPr lang="zh-CN" sz="1100">
              <a:latin typeface="方正小标宋简体" charset="-122"/>
              <a:ea typeface="方正小标宋简体" charset="-122"/>
            </a:rPr>
            <a:t>万</a:t>
          </a:r>
          <a:endParaRPr lang="zh-CN" altLang="en-US" sz="1100">
            <a:latin typeface="方正小标宋简体" charset="-122"/>
            <a:ea typeface="方正小标宋简体" charset="-122"/>
          </a:endParaRPr>
        </a:p>
      </dgm:t>
    </dgm:pt>
    <dgm:pt modelId="{16DF92DF-70DC-4287-9A2A-EC540F1E31C3}" cxnId="{B908372F-DDBE-4281-8369-EE7DA6CB7407}" type="parTrans">
      <dgm:prSet/>
      <dgm:spPr/>
      <dgm:t>
        <a:bodyPr/>
        <a:p>
          <a:endParaRPr lang="zh-CN" altLang="en-US">
            <a:latin typeface="仿宋" panose="02010609060101010101" pitchFamily="3" charset="-122"/>
            <a:ea typeface="仿宋" panose="02010609060101010101" pitchFamily="3" charset="-122"/>
          </a:endParaRPr>
        </a:p>
      </dgm:t>
    </dgm:pt>
    <dgm:pt modelId="{23153898-AD60-49FA-9313-1A8CA68E710B}" cxnId="{B908372F-DDBE-4281-8369-EE7DA6CB7407}" type="sibTrans">
      <dgm:prSet/>
      <dgm:spPr/>
      <dgm:t>
        <a:bodyPr/>
        <a:p>
          <a:endParaRPr lang="zh-CN" altLang="en-US">
            <a:latin typeface="仿宋" panose="02010609060101010101" pitchFamily="3" charset="-122"/>
            <a:ea typeface="仿宋" panose="02010609060101010101" pitchFamily="3" charset="-122"/>
          </a:endParaRPr>
        </a:p>
      </dgm:t>
    </dgm:pt>
    <dgm:pt modelId="{9A96F9C9-2358-488E-BC48-402C41899210}">
      <dgm:prSet phldrT="[文本]" custT="1"/>
      <dgm:spPr/>
      <dgm:t>
        <a:bodyPr anchor="ctr" anchorCtr="0"/>
        <a:p>
          <a:pPr marL="720090"/>
          <a:r>
            <a:rPr lang="en-US" altLang="zh-CN" sz="1100">
              <a:latin typeface="仿宋" panose="02010609060101010101" pitchFamily="3" charset="-122"/>
              <a:ea typeface="仿宋" panose="02010609060101010101" pitchFamily="3" charset="-122"/>
            </a:rPr>
            <a:t> </a:t>
          </a:r>
          <a:r>
            <a:rPr lang="zh-CN" sz="1100">
              <a:latin typeface="仿宋" panose="02010609060101010101" pitchFamily="3" charset="-122"/>
              <a:ea typeface="仿宋" panose="02010609060101010101" pitchFamily="3" charset="-122"/>
            </a:rPr>
            <a:t>活动期间 </a:t>
          </a:r>
          <a:r>
            <a:rPr lang="en-US" sz="1100">
              <a:latin typeface="方正小标宋简体" charset="-122"/>
              <a:ea typeface="方正小标宋简体" charset="-122"/>
            </a:rPr>
            <a:t>75.5</a:t>
          </a:r>
          <a:r>
            <a:rPr lang="zh-CN" sz="1100">
              <a:latin typeface="方正小标宋简体" charset="-122"/>
              <a:ea typeface="方正小标宋简体" charset="-122"/>
            </a:rPr>
            <a:t>万</a:t>
          </a:r>
          <a:endParaRPr lang="zh-CN" altLang="en-US" sz="1100">
            <a:latin typeface="方正小标宋简体" charset="-122"/>
            <a:ea typeface="方正小标宋简体" charset="-122"/>
          </a:endParaRPr>
        </a:p>
      </dgm:t>
    </dgm:pt>
    <dgm:pt modelId="{40F29397-6690-4EE7-9650-C276882882F4}" cxnId="{DA99615C-201B-4236-A8B2-4758906B8AD0}" type="parTrans">
      <dgm:prSet/>
      <dgm:spPr/>
      <dgm:t>
        <a:bodyPr/>
        <a:p>
          <a:endParaRPr lang="zh-CN" altLang="en-US">
            <a:latin typeface="仿宋" panose="02010609060101010101" pitchFamily="3" charset="-122"/>
            <a:ea typeface="仿宋" panose="02010609060101010101" pitchFamily="3" charset="-122"/>
          </a:endParaRPr>
        </a:p>
      </dgm:t>
    </dgm:pt>
    <dgm:pt modelId="{0220EBA4-14E5-41E5-9E9C-0DE10F8335DC}" cxnId="{DA99615C-201B-4236-A8B2-4758906B8AD0}" type="sibTrans">
      <dgm:prSet/>
      <dgm:spPr/>
      <dgm:t>
        <a:bodyPr/>
        <a:p>
          <a:endParaRPr lang="zh-CN" altLang="en-US">
            <a:latin typeface="仿宋" panose="02010609060101010101" pitchFamily="3" charset="-122"/>
            <a:ea typeface="仿宋" panose="02010609060101010101" pitchFamily="3" charset="-122"/>
          </a:endParaRPr>
        </a:p>
      </dgm:t>
    </dgm:pt>
    <dgm:pt modelId="{B0FEC851-FC78-496A-A0E0-87DE0F7D9C40}">
      <dgm:prSet phldrT="[文本]" custT="1"/>
      <dgm:spPr/>
      <dgm:t>
        <a:bodyPr/>
        <a:p>
          <a:r>
            <a:rPr lang="zh-CN" altLang="en-US" sz="2000">
              <a:latin typeface="方正小标宋简体" charset="-122"/>
              <a:ea typeface="方正小标宋简体" charset="-122"/>
            </a:rPr>
            <a:t>日活跃用户</a:t>
          </a:r>
        </a:p>
      </dgm:t>
    </dgm:pt>
    <dgm:pt modelId="{94F38D06-3CF0-4D84-99D3-59D9A7C56851}" cxnId="{C7CDA4C8-ECAA-40BC-A4AD-B6772DFBCC26}" type="parTrans">
      <dgm:prSet/>
      <dgm:spPr/>
      <dgm:t>
        <a:bodyPr/>
        <a:p>
          <a:endParaRPr lang="zh-CN" altLang="en-US">
            <a:latin typeface="仿宋" panose="02010609060101010101" pitchFamily="3" charset="-122"/>
            <a:ea typeface="仿宋" panose="02010609060101010101" pitchFamily="3" charset="-122"/>
          </a:endParaRPr>
        </a:p>
      </dgm:t>
    </dgm:pt>
    <dgm:pt modelId="{9ABBF339-EB0E-4CAB-80B6-109E4D932C8F}" cxnId="{C7CDA4C8-ECAA-40BC-A4AD-B6772DFBCC26}" type="sibTrans">
      <dgm:prSet/>
      <dgm:spPr/>
      <dgm:t>
        <a:bodyPr/>
        <a:p>
          <a:endParaRPr lang="zh-CN" altLang="en-US">
            <a:latin typeface="仿宋" panose="02010609060101010101" pitchFamily="3" charset="-122"/>
            <a:ea typeface="仿宋" panose="02010609060101010101" pitchFamily="3" charset="-122"/>
          </a:endParaRPr>
        </a:p>
      </dgm:t>
    </dgm:pt>
    <dgm:pt modelId="{CAAC8B6C-D525-4725-B330-3060BF5E538D}">
      <dgm:prSet phldrT="[文本]" custT="1"/>
      <dgm:spPr/>
      <dgm:t>
        <a:bodyPr anchor="ctr" anchorCtr="0"/>
        <a:p>
          <a:pPr marL="360045"/>
          <a:r>
            <a:rPr lang="en-US" altLang="zh-CN" sz="1100">
              <a:latin typeface="仿宋" panose="02010609060101010101" pitchFamily="3" charset="-122"/>
              <a:ea typeface="仿宋" panose="02010609060101010101" pitchFamily="3" charset="-122"/>
            </a:rPr>
            <a:t> </a:t>
          </a:r>
          <a:r>
            <a:rPr lang="zh-CN" sz="1100">
              <a:latin typeface="仿宋" panose="02010609060101010101" pitchFamily="3" charset="-122"/>
              <a:ea typeface="仿宋" panose="02010609060101010101" pitchFamily="3" charset="-122"/>
            </a:rPr>
            <a:t>平均 </a:t>
          </a:r>
          <a:r>
            <a:rPr lang="en-US" sz="1100">
              <a:latin typeface="方正小标宋简体" charset="-122"/>
              <a:ea typeface="方正小标宋简体" charset="-122"/>
            </a:rPr>
            <a:t>10.1</a:t>
          </a:r>
          <a:r>
            <a:rPr lang="zh-CN" sz="1100">
              <a:latin typeface="方正小标宋简体" charset="-122"/>
              <a:ea typeface="方正小标宋简体" charset="-122"/>
            </a:rPr>
            <a:t>万</a:t>
          </a:r>
        </a:p>
      </dgm:t>
    </dgm:pt>
    <dgm:pt modelId="{47AD0F73-896A-4A10-85E2-C2694A536119}" cxnId="{8746728B-19BD-4D72-BB9F-CC0B2C998AA6}" type="parTrans">
      <dgm:prSet/>
      <dgm:spPr/>
      <dgm:t>
        <a:bodyPr/>
        <a:p>
          <a:endParaRPr lang="zh-CN" altLang="en-US">
            <a:latin typeface="仿宋" panose="02010609060101010101" pitchFamily="3" charset="-122"/>
            <a:ea typeface="仿宋" panose="02010609060101010101" pitchFamily="3" charset="-122"/>
          </a:endParaRPr>
        </a:p>
      </dgm:t>
    </dgm:pt>
    <dgm:pt modelId="{DF87B6AF-05AE-44D9-A2E0-871C440F91C6}" cxnId="{8746728B-19BD-4D72-BB9F-CC0B2C998AA6}" type="sibTrans">
      <dgm:prSet/>
      <dgm:spPr/>
      <dgm:t>
        <a:bodyPr/>
        <a:p>
          <a:endParaRPr lang="zh-CN" altLang="en-US">
            <a:latin typeface="仿宋" panose="02010609060101010101" pitchFamily="3" charset="-122"/>
            <a:ea typeface="仿宋" panose="02010609060101010101" pitchFamily="3" charset="-122"/>
          </a:endParaRPr>
        </a:p>
      </dgm:t>
    </dgm:pt>
    <dgm:pt modelId="{E2B8A906-44D9-47CB-B9FA-158BE573E0BC}">
      <dgm:prSet phldrT="[文本]" custT="1"/>
      <dgm:spPr/>
      <dgm:t>
        <a:bodyPr anchor="ctr" anchorCtr="0"/>
        <a:p>
          <a:pPr marL="720090"/>
          <a:r>
            <a:rPr lang="en-US" altLang="zh-CN" sz="1100">
              <a:latin typeface="仿宋" panose="02010609060101010101" pitchFamily="3" charset="-122"/>
              <a:ea typeface="仿宋" panose="02010609060101010101" pitchFamily="3" charset="-122"/>
            </a:rPr>
            <a:t> </a:t>
          </a:r>
          <a:r>
            <a:rPr lang="zh-CN" sz="1100">
              <a:latin typeface="仿宋" panose="02010609060101010101" pitchFamily="3" charset="-122"/>
              <a:ea typeface="仿宋" panose="02010609060101010101" pitchFamily="3" charset="-122"/>
            </a:rPr>
            <a:t>活动期间 </a:t>
          </a:r>
          <a:r>
            <a:rPr lang="en-US" sz="1100">
              <a:latin typeface="方正小标宋简体" charset="-122"/>
              <a:ea typeface="方正小标宋简体" charset="-122"/>
            </a:rPr>
            <a:t>21.4</a:t>
          </a:r>
          <a:r>
            <a:rPr lang="zh-CN" sz="1100">
              <a:latin typeface="方正小标宋简体" charset="-122"/>
              <a:ea typeface="方正小标宋简体" charset="-122"/>
            </a:rPr>
            <a:t>万</a:t>
          </a:r>
          <a:endParaRPr lang="zh-CN" altLang="en-US" sz="1100">
            <a:latin typeface="方正小标宋简体" charset="-122"/>
            <a:ea typeface="方正小标宋简体" charset="-122"/>
          </a:endParaRPr>
        </a:p>
      </dgm:t>
    </dgm:pt>
    <dgm:pt modelId="{ADA59303-6275-45CD-B351-9507876B087C}" cxnId="{B72B9B7A-9907-470F-9969-B3BA3F051A29}" type="parTrans">
      <dgm:prSet/>
      <dgm:spPr/>
      <dgm:t>
        <a:bodyPr/>
        <a:p>
          <a:endParaRPr lang="zh-CN" altLang="en-US">
            <a:latin typeface="仿宋" panose="02010609060101010101" pitchFamily="3" charset="-122"/>
            <a:ea typeface="仿宋" panose="02010609060101010101" pitchFamily="3" charset="-122"/>
          </a:endParaRPr>
        </a:p>
      </dgm:t>
    </dgm:pt>
    <dgm:pt modelId="{5D70DF63-E032-4A79-AEE7-7F0B3457C0BE}" cxnId="{B72B9B7A-9907-470F-9969-B3BA3F051A29}" type="sibTrans">
      <dgm:prSet/>
      <dgm:spPr/>
      <dgm:t>
        <a:bodyPr/>
        <a:p>
          <a:endParaRPr lang="zh-CN" altLang="en-US">
            <a:latin typeface="仿宋" panose="02010609060101010101" pitchFamily="3" charset="-122"/>
            <a:ea typeface="仿宋" panose="02010609060101010101" pitchFamily="3" charset="-122"/>
          </a:endParaRPr>
        </a:p>
      </dgm:t>
    </dgm:pt>
    <dgm:pt modelId="{FB67EDC7-26A6-4C2F-8F3E-66A4A5EDD9AE}" type="pres">
      <dgm:prSet presAssocID="{66833A64-E24C-41CB-9C72-8E3758882DD1}" presName="Name0" presStyleCnt="0">
        <dgm:presLayoutVars>
          <dgm:dir/>
          <dgm:animLvl val="lvl"/>
          <dgm:resizeHandles/>
        </dgm:presLayoutVars>
      </dgm:prSet>
      <dgm:spPr/>
    </dgm:pt>
    <dgm:pt modelId="{4D33064A-0850-42B9-B786-1614ABC21153}" type="pres">
      <dgm:prSet presAssocID="{F121541B-9EE4-41B5-9988-462644C8EF78}" presName="linNode" presStyleCnt="0"/>
      <dgm:spPr/>
    </dgm:pt>
    <dgm:pt modelId="{9BF56ABD-C5DC-4DC8-9E95-E46BA649A1EB}" type="pres">
      <dgm:prSet presAssocID="{F121541B-9EE4-41B5-9988-462644C8EF78}" presName="parentShp" presStyleLbl="node1" presStyleIdx="0" presStyleCnt="3">
        <dgm:presLayoutVars>
          <dgm:bulletEnabled val="1"/>
        </dgm:presLayoutVars>
      </dgm:prSet>
      <dgm:spPr/>
    </dgm:pt>
    <dgm:pt modelId="{A4CC9CCA-6411-4F98-907B-A2EFCAEAA710}" type="pres">
      <dgm:prSet presAssocID="{F121541B-9EE4-41B5-9988-462644C8EF78}" presName="childShp" presStyleLbl="bgAccFollowNode1" presStyleIdx="0" presStyleCnt="3">
        <dgm:presLayoutVars>
          <dgm:bulletEnabled val="1"/>
        </dgm:presLayoutVars>
      </dgm:prSet>
      <dgm:spPr/>
    </dgm:pt>
    <dgm:pt modelId="{A32117C8-79B6-45D0-8A0C-07253B30E4D8}" type="pres">
      <dgm:prSet presAssocID="{38B76980-6D4F-4D40-ABF5-105673FD00DD}" presName="spacing" presStyleCnt="0"/>
      <dgm:spPr/>
    </dgm:pt>
    <dgm:pt modelId="{4A03CE0E-F013-42D5-9D84-CC49F228F7F7}" type="pres">
      <dgm:prSet presAssocID="{D2F38E48-0B0C-4281-AECD-E77FC04C3205}" presName="linNode" presStyleCnt="0"/>
      <dgm:spPr/>
    </dgm:pt>
    <dgm:pt modelId="{5BB7B293-0DE5-498C-9385-46478C392660}" type="pres">
      <dgm:prSet presAssocID="{D2F38E48-0B0C-4281-AECD-E77FC04C3205}" presName="parentShp" presStyleLbl="node1" presStyleIdx="1" presStyleCnt="3">
        <dgm:presLayoutVars>
          <dgm:bulletEnabled val="1"/>
        </dgm:presLayoutVars>
      </dgm:prSet>
      <dgm:spPr/>
    </dgm:pt>
    <dgm:pt modelId="{3CA881B3-E20C-495E-A431-71C0BF456B8D}" type="pres">
      <dgm:prSet presAssocID="{D2F38E48-0B0C-4281-AECD-E77FC04C3205}" presName="childShp" presStyleLbl="bgAccFollowNode1" presStyleIdx="1" presStyleCnt="3">
        <dgm:presLayoutVars>
          <dgm:bulletEnabled val="1"/>
        </dgm:presLayoutVars>
      </dgm:prSet>
      <dgm:spPr/>
    </dgm:pt>
    <dgm:pt modelId="{02F09A39-FF4C-4FE1-BE03-9CB0945674AF}" type="pres">
      <dgm:prSet presAssocID="{30F9AEA3-2A03-4A3A-94E9-318ED11C7980}" presName="spacing" presStyleCnt="0"/>
      <dgm:spPr/>
    </dgm:pt>
    <dgm:pt modelId="{2C7A12B3-9469-485D-BF9A-9A6A6E3485EC}" type="pres">
      <dgm:prSet presAssocID="{B0FEC851-FC78-496A-A0E0-87DE0F7D9C40}" presName="linNode" presStyleCnt="0"/>
      <dgm:spPr/>
    </dgm:pt>
    <dgm:pt modelId="{FC767982-4004-4C39-A3F7-5AB20BC45BD6}" type="pres">
      <dgm:prSet presAssocID="{B0FEC851-FC78-496A-A0E0-87DE0F7D9C40}" presName="parentShp" presStyleLbl="node1" presStyleIdx="2" presStyleCnt="3">
        <dgm:presLayoutVars>
          <dgm:bulletEnabled val="1"/>
        </dgm:presLayoutVars>
      </dgm:prSet>
      <dgm:spPr/>
    </dgm:pt>
    <dgm:pt modelId="{91C7C10E-C9E9-4878-852C-1206B97E950F}" type="pres">
      <dgm:prSet presAssocID="{B0FEC851-FC78-496A-A0E0-87DE0F7D9C40}" presName="childShp" presStyleLbl="bgAccFollowNode1" presStyleIdx="2" presStyleCnt="3">
        <dgm:presLayoutVars>
          <dgm:bulletEnabled val="1"/>
        </dgm:presLayoutVars>
      </dgm:prSet>
      <dgm:spPr/>
    </dgm:pt>
  </dgm:ptLst>
  <dgm:cxnLst>
    <dgm:cxn modelId="{6FE3A20D-F0C4-4E89-B432-E4166B165FD7}" type="presOf" srcId="{9A96F9C9-2358-488E-BC48-402C41899210}" destId="{3CA881B3-E20C-495E-A431-71C0BF456B8D}" srcOrd="0" destOrd="1" presId="urn:microsoft.com/office/officeart/2005/8/layout/vList6"/>
    <dgm:cxn modelId="{B908372F-DDBE-4281-8369-EE7DA6CB7407}" srcId="{D2F38E48-0B0C-4281-AECD-E77FC04C3205}" destId="{91165424-1165-4C0D-9E7B-6E71631E5319}" srcOrd="0" destOrd="0" parTransId="{16DF92DF-70DC-4287-9A2A-EC540F1E31C3}" sibTransId="{23153898-AD60-49FA-9313-1A8CA68E710B}"/>
    <dgm:cxn modelId="{DA99615C-201B-4236-A8B2-4758906B8AD0}" srcId="{D2F38E48-0B0C-4281-AECD-E77FC04C3205}" destId="{9A96F9C9-2358-488E-BC48-402C41899210}" srcOrd="1" destOrd="0" parTransId="{40F29397-6690-4EE7-9650-C276882882F4}" sibTransId="{0220EBA4-14E5-41E5-9E9C-0DE10F8335DC}"/>
    <dgm:cxn modelId="{D5894666-5563-43FA-ADCE-FDA7B9D8F52C}" type="presOf" srcId="{F121541B-9EE4-41B5-9988-462644C8EF78}" destId="{9BF56ABD-C5DC-4DC8-9E95-E46BA649A1EB}" srcOrd="0" destOrd="0" presId="urn:microsoft.com/office/officeart/2005/8/layout/vList6"/>
    <dgm:cxn modelId="{43B12155-08D2-45CE-BA79-B49C232F39CB}" type="presOf" srcId="{B0FEC851-FC78-496A-A0E0-87DE0F7D9C40}" destId="{FC767982-4004-4C39-A3F7-5AB20BC45BD6}" srcOrd="0" destOrd="0" presId="urn:microsoft.com/office/officeart/2005/8/layout/vList6"/>
    <dgm:cxn modelId="{C552B657-5844-4BB5-AB88-CF53FCE43C16}" srcId="{66833A64-E24C-41CB-9C72-8E3758882DD1}" destId="{D2F38E48-0B0C-4281-AECD-E77FC04C3205}" srcOrd="1" destOrd="0" parTransId="{E21BFA5B-EDDB-4DF6-BACE-00E115F6BCE5}" sibTransId="{30F9AEA3-2A03-4A3A-94E9-318ED11C7980}"/>
    <dgm:cxn modelId="{B72B9B7A-9907-470F-9969-B3BA3F051A29}" srcId="{B0FEC851-FC78-496A-A0E0-87DE0F7D9C40}" destId="{E2B8A906-44D9-47CB-B9FA-158BE573E0BC}" srcOrd="1" destOrd="0" parTransId="{ADA59303-6275-45CD-B351-9507876B087C}" sibTransId="{5D70DF63-E032-4A79-AEE7-7F0B3457C0BE}"/>
    <dgm:cxn modelId="{F8551D7E-AF8B-4D7E-8713-8839EB0A24FE}" type="presOf" srcId="{E2B8A906-44D9-47CB-B9FA-158BE573E0BC}" destId="{91C7C10E-C9E9-4878-852C-1206B97E950F}" srcOrd="0" destOrd="1" presId="urn:microsoft.com/office/officeart/2005/8/layout/vList6"/>
    <dgm:cxn modelId="{8746728B-19BD-4D72-BB9F-CC0B2C998AA6}" srcId="{B0FEC851-FC78-496A-A0E0-87DE0F7D9C40}" destId="{CAAC8B6C-D525-4725-B330-3060BF5E538D}" srcOrd="0" destOrd="0" parTransId="{47AD0F73-896A-4A10-85E2-C2694A536119}" sibTransId="{DF87B6AF-05AE-44D9-A2E0-871C440F91C6}"/>
    <dgm:cxn modelId="{06C43690-9F79-4B39-925D-B83197F90F77}" type="presOf" srcId="{91165424-1165-4C0D-9E7B-6E71631E5319}" destId="{3CA881B3-E20C-495E-A431-71C0BF456B8D}" srcOrd="0" destOrd="0" presId="urn:microsoft.com/office/officeart/2005/8/layout/vList6"/>
    <dgm:cxn modelId="{14DA099E-E128-4B73-BCE0-98F5EFC97605}" type="presOf" srcId="{66833A64-E24C-41CB-9C72-8E3758882DD1}" destId="{FB67EDC7-26A6-4C2F-8F3E-66A4A5EDD9AE}" srcOrd="0" destOrd="0" presId="urn:microsoft.com/office/officeart/2005/8/layout/vList6"/>
    <dgm:cxn modelId="{FEC9BAA1-E4A4-44E1-9371-EA51C7B7B3A4}" srcId="{66833A64-E24C-41CB-9C72-8E3758882DD1}" destId="{F121541B-9EE4-41B5-9988-462644C8EF78}" srcOrd="0" destOrd="0" parTransId="{A69AB36F-4070-4D45-ADCC-BBFEF4D1C980}" sibTransId="{38B76980-6D4F-4D40-ABF5-105673FD00DD}"/>
    <dgm:cxn modelId="{65FCA7BC-2618-4EA2-87D2-515C80E0A11A}" type="presOf" srcId="{AD1DB7C9-7ED0-4EA2-A6F6-54EFDBF6C15D}" destId="{A4CC9CCA-6411-4F98-907B-A2EFCAEAA710}" srcOrd="0" destOrd="0" presId="urn:microsoft.com/office/officeart/2005/8/layout/vList6"/>
    <dgm:cxn modelId="{C7CDA4C8-ECAA-40BC-A4AD-B6772DFBCC26}" srcId="{66833A64-E24C-41CB-9C72-8E3758882DD1}" destId="{B0FEC851-FC78-496A-A0E0-87DE0F7D9C40}" srcOrd="2" destOrd="0" parTransId="{94F38D06-3CF0-4D84-99D3-59D9A7C56851}" sibTransId="{9ABBF339-EB0E-4CAB-80B6-109E4D932C8F}"/>
    <dgm:cxn modelId="{BF2804D3-97B2-4003-B97E-E69BEBA4F51D}" type="presOf" srcId="{CAAC8B6C-D525-4725-B330-3060BF5E538D}" destId="{91C7C10E-C9E9-4878-852C-1206B97E950F}" srcOrd="0" destOrd="0" presId="urn:microsoft.com/office/officeart/2005/8/layout/vList6"/>
    <dgm:cxn modelId="{62C9B0DE-7C8F-4B94-A476-877AC6AC51C9}" type="presOf" srcId="{D2F38E48-0B0C-4281-AECD-E77FC04C3205}" destId="{5BB7B293-0DE5-498C-9385-46478C392660}" srcOrd="0" destOrd="0" presId="urn:microsoft.com/office/officeart/2005/8/layout/vList6"/>
    <dgm:cxn modelId="{4726A4EB-0093-4E6F-BA8F-A5827C14FBDA}" srcId="{F121541B-9EE4-41B5-9988-462644C8EF78}" destId="{AD1DB7C9-7ED0-4EA2-A6F6-54EFDBF6C15D}" srcOrd="0" destOrd="0" parTransId="{6E348F14-727B-4E54-91AF-FF864F269119}" sibTransId="{025E108E-BEEE-4457-81A6-F2351BF37C6E}"/>
    <dgm:cxn modelId="{427E5215-D25C-4E4E-A1DE-B3B9954F241F}" type="presParOf" srcId="{FB67EDC7-26A6-4C2F-8F3E-66A4A5EDD9AE}" destId="{4D33064A-0850-42B9-B786-1614ABC21153}" srcOrd="0" destOrd="0" presId="urn:microsoft.com/office/officeart/2005/8/layout/vList6"/>
    <dgm:cxn modelId="{02349141-BD54-4D2A-8152-177AA10BD8D9}" type="presParOf" srcId="{4D33064A-0850-42B9-B786-1614ABC21153}" destId="{9BF56ABD-C5DC-4DC8-9E95-E46BA649A1EB}" srcOrd="0" destOrd="0" presId="urn:microsoft.com/office/officeart/2005/8/layout/vList6"/>
    <dgm:cxn modelId="{3D0F4967-2E8A-4B7E-B022-307BE331C3FC}" type="presParOf" srcId="{4D33064A-0850-42B9-B786-1614ABC21153}" destId="{A4CC9CCA-6411-4F98-907B-A2EFCAEAA710}" srcOrd="1" destOrd="0" presId="urn:microsoft.com/office/officeart/2005/8/layout/vList6"/>
    <dgm:cxn modelId="{10BD31D3-3517-4D09-91D5-A73A52A9BA07}" type="presParOf" srcId="{FB67EDC7-26A6-4C2F-8F3E-66A4A5EDD9AE}" destId="{A32117C8-79B6-45D0-8A0C-07253B30E4D8}" srcOrd="1" destOrd="0" presId="urn:microsoft.com/office/officeart/2005/8/layout/vList6"/>
    <dgm:cxn modelId="{BC345398-8E12-46B9-98C5-0AFCB072951F}" type="presParOf" srcId="{FB67EDC7-26A6-4C2F-8F3E-66A4A5EDD9AE}" destId="{4A03CE0E-F013-42D5-9D84-CC49F228F7F7}" srcOrd="2" destOrd="0" presId="urn:microsoft.com/office/officeart/2005/8/layout/vList6"/>
    <dgm:cxn modelId="{5901CF97-B887-470E-85C3-38F0AFE314C0}" type="presParOf" srcId="{4A03CE0E-F013-42D5-9D84-CC49F228F7F7}" destId="{5BB7B293-0DE5-498C-9385-46478C392660}" srcOrd="0" destOrd="0" presId="urn:microsoft.com/office/officeart/2005/8/layout/vList6"/>
    <dgm:cxn modelId="{A67685E8-B047-40A9-BAE3-1A69FF16E628}" type="presParOf" srcId="{4A03CE0E-F013-42D5-9D84-CC49F228F7F7}" destId="{3CA881B3-E20C-495E-A431-71C0BF456B8D}" srcOrd="1" destOrd="0" presId="urn:microsoft.com/office/officeart/2005/8/layout/vList6"/>
    <dgm:cxn modelId="{72FE3A11-BFC6-4823-9A3B-882F1ADBF561}" type="presParOf" srcId="{FB67EDC7-26A6-4C2F-8F3E-66A4A5EDD9AE}" destId="{02F09A39-FF4C-4FE1-BE03-9CB0945674AF}" srcOrd="3" destOrd="0" presId="urn:microsoft.com/office/officeart/2005/8/layout/vList6"/>
    <dgm:cxn modelId="{A9BA6AAF-FD03-4ADB-BB6F-4C901BFACDE8}" type="presParOf" srcId="{FB67EDC7-26A6-4C2F-8F3E-66A4A5EDD9AE}" destId="{2C7A12B3-9469-485D-BF9A-9A6A6E3485EC}" srcOrd="4" destOrd="0" presId="urn:microsoft.com/office/officeart/2005/8/layout/vList6"/>
    <dgm:cxn modelId="{72A73556-4373-4D97-AF49-9D8467FB40D5}" type="presParOf" srcId="{2C7A12B3-9469-485D-BF9A-9A6A6E3485EC}" destId="{FC767982-4004-4C39-A3F7-5AB20BC45BD6}" srcOrd="0" destOrd="0" presId="urn:microsoft.com/office/officeart/2005/8/layout/vList6"/>
    <dgm:cxn modelId="{CF61319B-C4E7-4C7A-85BA-51095E1214AE}" type="presParOf" srcId="{2C7A12B3-9469-485D-BF9A-9A6A6E3485EC}" destId="{91C7C10E-C9E9-4878-852C-1206B97E950F}" srcOrd="1" destOrd="0" presId="urn:microsoft.com/office/officeart/2005/8/layout/vList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CC9CCA-6411-4F98-907B-A2EFCAEAA710}">
      <dsp:nvSpPr>
        <dsp:cNvPr id="0" name=""/>
        <dsp:cNvSpPr/>
      </dsp:nvSpPr>
      <dsp:spPr>
        <a:xfrm>
          <a:off x="1973580" y="0"/>
          <a:ext cx="2960370" cy="574476"/>
        </a:xfrm>
        <a:prstGeom prst="rightArrow">
          <a:avLst>
            <a:gd name="adj1" fmla="val 75000"/>
            <a:gd name="adj2" fmla="val 50000"/>
          </a:avLst>
        </a:prstGeom>
        <a:solidFill>
          <a:schemeClr val="accent5">
            <a:tint val="40000"/>
            <a:alpha val="90000"/>
            <a:hueOff val="0"/>
            <a:satOff val="0"/>
            <a:lumOff val="0"/>
            <a:alphaOff val="0"/>
          </a:schemeClr>
        </a:solidFill>
        <a:ln w="6350" cap="flat" cmpd="sng" algn="ctr">
          <a:solidFill>
            <a:schemeClr val="accent5">
              <a:tint val="40000"/>
              <a:alpha val="90000"/>
              <a:hueOff val="0"/>
              <a:satOff val="0"/>
              <a:lumOff val="0"/>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360000" lvl="1" indent="-57150" algn="l" defTabSz="488950">
            <a:lnSpc>
              <a:spcPct val="90000"/>
            </a:lnSpc>
            <a:spcBef>
              <a:spcPct val="0"/>
            </a:spcBef>
            <a:spcAft>
              <a:spcPct val="15000"/>
            </a:spcAft>
            <a:buChar char="•"/>
          </a:pPr>
          <a:r>
            <a:rPr lang="zh-CN" altLang="en-US" sz="1100" kern="1200">
              <a:latin typeface="仿宋" pitchFamily="49" charset="-122"/>
              <a:ea typeface="仿宋" pitchFamily="49" charset="-122"/>
            </a:rPr>
            <a:t> 约 </a:t>
          </a:r>
          <a:r>
            <a:rPr lang="en-US" sz="2000" kern="1200">
              <a:latin typeface="方正小标宋简体" pitchFamily="2" charset="-122"/>
              <a:ea typeface="方正小标宋简体" pitchFamily="2" charset="-122"/>
            </a:rPr>
            <a:t>180.8</a:t>
          </a:r>
          <a:r>
            <a:rPr lang="zh-CN" sz="2000" kern="1200">
              <a:latin typeface="方正小标宋简体" pitchFamily="2" charset="-122"/>
              <a:ea typeface="方正小标宋简体" pitchFamily="2" charset="-122"/>
            </a:rPr>
            <a:t>万</a:t>
          </a:r>
          <a:endParaRPr lang="zh-CN" altLang="en-US" sz="2000" kern="1200">
            <a:latin typeface="方正小标宋简体" pitchFamily="2" charset="-122"/>
            <a:ea typeface="方正小标宋简体" pitchFamily="2" charset="-122"/>
          </a:endParaRPr>
        </a:p>
      </dsp:txBody>
      <dsp:txXfrm>
        <a:off x="1973580" y="71810"/>
        <a:ext cx="2744942" cy="430857"/>
      </dsp:txXfrm>
    </dsp:sp>
    <dsp:sp modelId="{9BF56ABD-C5DC-4DC8-9E95-E46BA649A1EB}">
      <dsp:nvSpPr>
        <dsp:cNvPr id="0" name=""/>
        <dsp:cNvSpPr/>
      </dsp:nvSpPr>
      <dsp:spPr>
        <a:xfrm>
          <a:off x="0" y="0"/>
          <a:ext cx="1973580" cy="574476"/>
        </a:xfrm>
        <a:prstGeom prst="roundRect">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zh-CN" altLang="en-US" sz="2000" kern="1200">
              <a:latin typeface="方正小标宋简体" pitchFamily="2" charset="-122"/>
              <a:ea typeface="方正小标宋简体" pitchFamily="2" charset="-122"/>
            </a:rPr>
            <a:t>年活跃用户</a:t>
          </a:r>
        </a:p>
      </dsp:txBody>
      <dsp:txXfrm>
        <a:off x="28044" y="28044"/>
        <a:ext cx="1917492" cy="518388"/>
      </dsp:txXfrm>
    </dsp:sp>
    <dsp:sp modelId="{3CA881B3-E20C-495E-A431-71C0BF456B8D}">
      <dsp:nvSpPr>
        <dsp:cNvPr id="0" name=""/>
        <dsp:cNvSpPr/>
      </dsp:nvSpPr>
      <dsp:spPr>
        <a:xfrm>
          <a:off x="1973580" y="631924"/>
          <a:ext cx="2960370" cy="574476"/>
        </a:xfrm>
        <a:prstGeom prst="rightArrow">
          <a:avLst>
            <a:gd name="adj1" fmla="val 75000"/>
            <a:gd name="adj2" fmla="val 50000"/>
          </a:avLst>
        </a:prstGeom>
        <a:solidFill>
          <a:schemeClr val="accent5">
            <a:tint val="40000"/>
            <a:alpha val="90000"/>
            <a:hueOff val="-3695877"/>
            <a:satOff val="-6408"/>
            <a:lumOff val="-644"/>
            <a:alphaOff val="0"/>
          </a:schemeClr>
        </a:solidFill>
        <a:ln w="6350" cap="flat" cmpd="sng" algn="ctr">
          <a:solidFill>
            <a:schemeClr val="accent5">
              <a:tint val="40000"/>
              <a:alpha val="90000"/>
              <a:hueOff val="-3695877"/>
              <a:satOff val="-6408"/>
              <a:lumOff val="-644"/>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360000" lvl="1" indent="-57150" algn="l" defTabSz="488950">
            <a:lnSpc>
              <a:spcPct val="90000"/>
            </a:lnSpc>
            <a:spcBef>
              <a:spcPct val="0"/>
            </a:spcBef>
            <a:spcAft>
              <a:spcPct val="15000"/>
            </a:spcAft>
            <a:buChar char="•"/>
          </a:pPr>
          <a:r>
            <a:rPr lang="en-US" altLang="zh-CN" sz="1100" kern="1200">
              <a:latin typeface="仿宋" pitchFamily="49" charset="-122"/>
              <a:ea typeface="仿宋" pitchFamily="49" charset="-122"/>
            </a:rPr>
            <a:t> </a:t>
          </a:r>
          <a:r>
            <a:rPr lang="zh-CN" sz="1100" kern="1200">
              <a:latin typeface="仿宋" pitchFamily="49" charset="-122"/>
              <a:ea typeface="仿宋" pitchFamily="49" charset="-122"/>
            </a:rPr>
            <a:t>平均 </a:t>
          </a:r>
          <a:r>
            <a:rPr lang="en-US" sz="1100" kern="1200">
              <a:latin typeface="方正小标宋简体" pitchFamily="2" charset="-122"/>
              <a:ea typeface="方正小标宋简体" pitchFamily="2" charset="-122"/>
            </a:rPr>
            <a:t>26.4</a:t>
          </a:r>
          <a:r>
            <a:rPr lang="zh-CN" sz="1100" kern="1200">
              <a:latin typeface="方正小标宋简体" pitchFamily="2" charset="-122"/>
              <a:ea typeface="方正小标宋简体" pitchFamily="2" charset="-122"/>
            </a:rPr>
            <a:t>万</a:t>
          </a:r>
          <a:endParaRPr lang="zh-CN" altLang="en-US" sz="1100" kern="1200">
            <a:latin typeface="方正小标宋简体" pitchFamily="2" charset="-122"/>
            <a:ea typeface="方正小标宋简体" pitchFamily="2" charset="-122"/>
          </a:endParaRPr>
        </a:p>
        <a:p>
          <a:pPr marL="720000" lvl="1" indent="-57150" algn="l" defTabSz="488950">
            <a:lnSpc>
              <a:spcPct val="90000"/>
            </a:lnSpc>
            <a:spcBef>
              <a:spcPct val="0"/>
            </a:spcBef>
            <a:spcAft>
              <a:spcPct val="15000"/>
            </a:spcAft>
            <a:buChar char="•"/>
          </a:pPr>
          <a:r>
            <a:rPr lang="en-US" altLang="zh-CN" sz="1100" kern="1200">
              <a:latin typeface="仿宋" pitchFamily="49" charset="-122"/>
              <a:ea typeface="仿宋" pitchFamily="49" charset="-122"/>
            </a:rPr>
            <a:t> </a:t>
          </a:r>
          <a:r>
            <a:rPr lang="zh-CN" sz="1100" kern="1200">
              <a:latin typeface="仿宋" pitchFamily="49" charset="-122"/>
              <a:ea typeface="仿宋" pitchFamily="49" charset="-122"/>
            </a:rPr>
            <a:t>活动期间 </a:t>
          </a:r>
          <a:r>
            <a:rPr lang="en-US" sz="1100" kern="1200">
              <a:latin typeface="方正小标宋简体" pitchFamily="2" charset="-122"/>
              <a:ea typeface="方正小标宋简体" pitchFamily="2" charset="-122"/>
            </a:rPr>
            <a:t>75.5</a:t>
          </a:r>
          <a:r>
            <a:rPr lang="zh-CN" sz="1100" kern="1200">
              <a:latin typeface="方正小标宋简体" pitchFamily="2" charset="-122"/>
              <a:ea typeface="方正小标宋简体" pitchFamily="2" charset="-122"/>
            </a:rPr>
            <a:t>万</a:t>
          </a:r>
          <a:endParaRPr lang="zh-CN" altLang="en-US" sz="1100" kern="1200">
            <a:latin typeface="方正小标宋简体" pitchFamily="2" charset="-122"/>
            <a:ea typeface="方正小标宋简体" pitchFamily="2" charset="-122"/>
          </a:endParaRPr>
        </a:p>
      </dsp:txBody>
      <dsp:txXfrm>
        <a:off x="1973580" y="703734"/>
        <a:ext cx="2744942" cy="430857"/>
      </dsp:txXfrm>
    </dsp:sp>
    <dsp:sp modelId="{5BB7B293-0DE5-498C-9385-46478C392660}">
      <dsp:nvSpPr>
        <dsp:cNvPr id="0" name=""/>
        <dsp:cNvSpPr/>
      </dsp:nvSpPr>
      <dsp:spPr>
        <a:xfrm>
          <a:off x="0" y="631924"/>
          <a:ext cx="1973580" cy="574476"/>
        </a:xfrm>
        <a:prstGeom prst="roundRect">
          <a:avLst/>
        </a:prstGeom>
        <a:solidFill>
          <a:schemeClr val="accent5">
            <a:hueOff val="-3676672"/>
            <a:satOff val="-5114"/>
            <a:lumOff val="-1961"/>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zh-CN" altLang="en-US" sz="2000" kern="1200">
              <a:latin typeface="方正小标宋简体" pitchFamily="2" charset="-122"/>
              <a:ea typeface="方正小标宋简体" pitchFamily="2" charset="-122"/>
            </a:rPr>
            <a:t>月活跃用户</a:t>
          </a:r>
        </a:p>
      </dsp:txBody>
      <dsp:txXfrm>
        <a:off x="28044" y="659968"/>
        <a:ext cx="1917492" cy="518388"/>
      </dsp:txXfrm>
    </dsp:sp>
    <dsp:sp modelId="{91C7C10E-C9E9-4878-852C-1206B97E950F}">
      <dsp:nvSpPr>
        <dsp:cNvPr id="0" name=""/>
        <dsp:cNvSpPr/>
      </dsp:nvSpPr>
      <dsp:spPr>
        <a:xfrm>
          <a:off x="1973580" y="1263848"/>
          <a:ext cx="2960370" cy="574476"/>
        </a:xfrm>
        <a:prstGeom prst="rightArrow">
          <a:avLst>
            <a:gd name="adj1" fmla="val 75000"/>
            <a:gd name="adj2" fmla="val 50000"/>
          </a:avLst>
        </a:prstGeom>
        <a:solidFill>
          <a:schemeClr val="accent5">
            <a:tint val="40000"/>
            <a:alpha val="90000"/>
            <a:hueOff val="-7391755"/>
            <a:satOff val="-12816"/>
            <a:lumOff val="-1289"/>
            <a:alphaOff val="0"/>
          </a:schemeClr>
        </a:solidFill>
        <a:ln w="6350" cap="flat" cmpd="sng" algn="ctr">
          <a:solidFill>
            <a:schemeClr val="accent5">
              <a:tint val="40000"/>
              <a:alpha val="90000"/>
              <a:hueOff val="-7391755"/>
              <a:satOff val="-12816"/>
              <a:lumOff val="-1289"/>
              <a:alphaOff val="0"/>
            </a:schemeClr>
          </a:solidFill>
          <a:prstDash val="solid"/>
          <a:miter lim="800000"/>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360000" lvl="1" indent="-57150" algn="l" defTabSz="488950">
            <a:lnSpc>
              <a:spcPct val="90000"/>
            </a:lnSpc>
            <a:spcBef>
              <a:spcPct val="0"/>
            </a:spcBef>
            <a:spcAft>
              <a:spcPct val="15000"/>
            </a:spcAft>
            <a:buChar char="•"/>
          </a:pPr>
          <a:r>
            <a:rPr lang="en-US" altLang="zh-CN" sz="1100" kern="1200">
              <a:latin typeface="仿宋" pitchFamily="49" charset="-122"/>
              <a:ea typeface="仿宋" pitchFamily="49" charset="-122"/>
            </a:rPr>
            <a:t> </a:t>
          </a:r>
          <a:r>
            <a:rPr lang="zh-CN" sz="1100" kern="1200">
              <a:latin typeface="仿宋" pitchFamily="49" charset="-122"/>
              <a:ea typeface="仿宋" pitchFamily="49" charset="-122"/>
            </a:rPr>
            <a:t>平均 </a:t>
          </a:r>
          <a:r>
            <a:rPr lang="en-US" sz="1100" kern="1200">
              <a:latin typeface="方正小标宋简体" pitchFamily="2" charset="-122"/>
              <a:ea typeface="方正小标宋简体" pitchFamily="2" charset="-122"/>
            </a:rPr>
            <a:t>10.1</a:t>
          </a:r>
          <a:r>
            <a:rPr lang="zh-CN" sz="1100" kern="1200">
              <a:latin typeface="方正小标宋简体" pitchFamily="2" charset="-122"/>
              <a:ea typeface="方正小标宋简体" pitchFamily="2" charset="-122"/>
            </a:rPr>
            <a:t>万</a:t>
          </a:r>
        </a:p>
        <a:p>
          <a:pPr marL="720000" lvl="1" indent="-57150" algn="l" defTabSz="488950">
            <a:lnSpc>
              <a:spcPct val="90000"/>
            </a:lnSpc>
            <a:spcBef>
              <a:spcPct val="0"/>
            </a:spcBef>
            <a:spcAft>
              <a:spcPct val="15000"/>
            </a:spcAft>
            <a:buChar char="•"/>
          </a:pPr>
          <a:r>
            <a:rPr lang="en-US" altLang="zh-CN" sz="1100" kern="1200">
              <a:latin typeface="仿宋" pitchFamily="49" charset="-122"/>
              <a:ea typeface="仿宋" pitchFamily="49" charset="-122"/>
            </a:rPr>
            <a:t> </a:t>
          </a:r>
          <a:r>
            <a:rPr lang="zh-CN" sz="1100" kern="1200">
              <a:latin typeface="仿宋" pitchFamily="49" charset="-122"/>
              <a:ea typeface="仿宋" pitchFamily="49" charset="-122"/>
            </a:rPr>
            <a:t>活动期间 </a:t>
          </a:r>
          <a:r>
            <a:rPr lang="en-US" sz="1100" kern="1200">
              <a:latin typeface="方正小标宋简体" pitchFamily="2" charset="-122"/>
              <a:ea typeface="方正小标宋简体" pitchFamily="2" charset="-122"/>
            </a:rPr>
            <a:t>21.4</a:t>
          </a:r>
          <a:r>
            <a:rPr lang="zh-CN" sz="1100" kern="1200">
              <a:latin typeface="方正小标宋简体" pitchFamily="2" charset="-122"/>
              <a:ea typeface="方正小标宋简体" pitchFamily="2" charset="-122"/>
            </a:rPr>
            <a:t>万</a:t>
          </a:r>
          <a:endParaRPr lang="zh-CN" altLang="en-US" sz="1100" kern="1200">
            <a:latin typeface="方正小标宋简体" pitchFamily="2" charset="-122"/>
            <a:ea typeface="方正小标宋简体" pitchFamily="2" charset="-122"/>
          </a:endParaRPr>
        </a:p>
      </dsp:txBody>
      <dsp:txXfrm>
        <a:off x="1973580" y="1335658"/>
        <a:ext cx="2744942" cy="430857"/>
      </dsp:txXfrm>
    </dsp:sp>
    <dsp:sp modelId="{FC767982-4004-4C39-A3F7-5AB20BC45BD6}">
      <dsp:nvSpPr>
        <dsp:cNvPr id="0" name=""/>
        <dsp:cNvSpPr/>
      </dsp:nvSpPr>
      <dsp:spPr>
        <a:xfrm>
          <a:off x="0" y="1263848"/>
          <a:ext cx="1973580" cy="574476"/>
        </a:xfrm>
        <a:prstGeom prst="roundRect">
          <a:avLst/>
        </a:prstGeom>
        <a:solidFill>
          <a:schemeClr val="accent5">
            <a:hueOff val="-7353344"/>
            <a:satOff val="-10228"/>
            <a:lumOff val="-3922"/>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zh-CN" altLang="en-US" sz="2000" kern="1200">
              <a:latin typeface="方正小标宋简体" pitchFamily="2" charset="-122"/>
              <a:ea typeface="方正小标宋简体" pitchFamily="2" charset="-122"/>
            </a:rPr>
            <a:t>日活跃用户</a:t>
          </a:r>
        </a:p>
      </dsp:txBody>
      <dsp:txXfrm>
        <a:off x="28044" y="1291892"/>
        <a:ext cx="1917492" cy="518388"/>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type="rightArrow" r:blip="" rot="180"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1725</Words>
  <Characters>9837</Characters>
  <Lines>81</Lines>
  <Paragraphs>23</Paragraphs>
  <TotalTime>215</TotalTime>
  <ScaleCrop>false</ScaleCrop>
  <LinksUpToDate>false</LinksUpToDate>
  <CharactersWithSpaces>11539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2022-02-22T08:04:00Z</dcterms:created>
  <dc:creator>Microsoft 帐户</dc:creator>
  <cp:lastModifiedBy>SupEr_Xanthus,Li</cp:lastModifiedBy>
  <dcterms:modified xsi:type="dcterms:W3CDTF">2022-03-16T05:33:19Z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886D5E85B7044E5BB50E5914B6D34A40</vt:lpwstr>
  </property>
</Properties>
</file>